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A0AA9">
      <w:pPr>
        <w:pBdr>
          <w:top w:val="none" w:color="auto" w:sz="0" w:space="0"/>
          <w:left w:val="none" w:color="auto" w:sz="0" w:space="0"/>
          <w:bottom w:val="none" w:color="000000" w:sz="0" w:space="0"/>
          <w:right w:val="none" w:color="auto" w:sz="0" w:space="0"/>
          <w:between w:val="none" w:color="auto" w:sz="0" w:space="0"/>
        </w:pBdr>
        <w:autoSpaceDE w:val="0"/>
        <w:autoSpaceDN w:val="0"/>
        <w:adjustRightInd w:val="0"/>
        <w:ind w:right="105" w:rightChars="50"/>
        <w:jc w:val="right"/>
        <w:rPr>
          <w:rFonts w:ascii="Arial" w:hAnsi="Arial"/>
          <w:kern w:val="0"/>
          <w:sz w:val="31"/>
          <w:highlight w:val="none"/>
          <w:u w:val="single"/>
        </w:rPr>
      </w:pPr>
      <w:bookmarkStart w:id="0" w:name="_Toc207442172"/>
      <w:bookmarkEnd w:id="0"/>
    </w:p>
    <w:p w14:paraId="3C6D63C5">
      <w:pPr>
        <w:pBdr>
          <w:top w:val="none" w:color="auto" w:sz="0" w:space="0"/>
          <w:left w:val="none" w:color="auto" w:sz="0" w:space="0"/>
          <w:bottom w:val="none" w:color="000000" w:sz="0" w:space="0"/>
          <w:right w:val="none" w:color="auto" w:sz="0" w:space="0"/>
          <w:between w:val="none" w:color="auto" w:sz="0" w:space="0"/>
        </w:pBdr>
        <w:spacing w:after="156" w:afterLines="50" w:line="360" w:lineRule="auto"/>
        <w:jc w:val="center"/>
        <w:rPr>
          <w:rFonts w:hint="eastAsia" w:ascii="宋体" w:hAnsi="宋体"/>
          <w:b/>
          <w:kern w:val="0"/>
          <w:sz w:val="48"/>
          <w:highlight w:val="none"/>
          <w:lang w:val="en-US" w:eastAsia="zh-CN"/>
        </w:rPr>
      </w:pPr>
    </w:p>
    <w:p w14:paraId="62D51F46">
      <w:pPr>
        <w:pBdr>
          <w:top w:val="none" w:color="auto" w:sz="0" w:space="0"/>
          <w:left w:val="none" w:color="auto" w:sz="0" w:space="0"/>
          <w:bottom w:val="none" w:color="000000" w:sz="0" w:space="0"/>
          <w:right w:val="none" w:color="auto" w:sz="0" w:space="0"/>
          <w:between w:val="none" w:color="auto" w:sz="0" w:space="0"/>
        </w:pBdr>
        <w:spacing w:after="156" w:afterLines="50" w:line="360" w:lineRule="auto"/>
        <w:jc w:val="center"/>
        <w:rPr>
          <w:rFonts w:hint="eastAsia" w:ascii="宋体" w:hAnsi="宋体"/>
          <w:b/>
          <w:kern w:val="0"/>
          <w:sz w:val="48"/>
          <w:highlight w:val="none"/>
        </w:rPr>
      </w:pPr>
      <w:r>
        <w:rPr>
          <w:rFonts w:hint="eastAsia" w:ascii="宋体" w:hAnsi="宋体"/>
          <w:b/>
          <w:kern w:val="0"/>
          <w:sz w:val="48"/>
          <w:highlight w:val="none"/>
          <w:lang w:val="en-US" w:eastAsia="zh-CN"/>
        </w:rPr>
        <w:t>鲁山豫能抽水蓄能有限公司</w:t>
      </w:r>
    </w:p>
    <w:p w14:paraId="252D23E0">
      <w:pPr>
        <w:pBdr>
          <w:top w:val="none" w:color="auto" w:sz="0" w:space="0"/>
          <w:left w:val="none" w:color="auto" w:sz="0" w:space="0"/>
          <w:bottom w:val="none" w:color="000000" w:sz="0" w:space="0"/>
          <w:right w:val="none" w:color="auto" w:sz="0" w:space="0"/>
          <w:between w:val="none" w:color="auto" w:sz="0" w:space="0"/>
        </w:pBdr>
        <w:spacing w:after="156" w:afterLines="50" w:line="360" w:lineRule="auto"/>
        <w:jc w:val="center"/>
        <w:rPr>
          <w:rFonts w:hint="eastAsia" w:ascii="宋体" w:hAnsi="宋体"/>
          <w:b/>
          <w:kern w:val="0"/>
          <w:sz w:val="48"/>
          <w:highlight w:val="none"/>
          <w:lang w:val="en-US" w:eastAsia="zh-CN"/>
        </w:rPr>
      </w:pPr>
      <w:r>
        <w:rPr>
          <w:rFonts w:hint="eastAsia" w:ascii="宋体" w:hAnsi="宋体"/>
          <w:b/>
          <w:kern w:val="0"/>
          <w:sz w:val="48"/>
          <w:highlight w:val="none"/>
          <w:lang w:val="en-US" w:eastAsia="zh-CN"/>
        </w:rPr>
        <w:t>巡逻车采购技术规范</w:t>
      </w:r>
    </w:p>
    <w:p w14:paraId="200D6F56">
      <w:pPr>
        <w:pBdr>
          <w:top w:val="none" w:color="auto" w:sz="0" w:space="0"/>
          <w:left w:val="none" w:color="auto" w:sz="0" w:space="0"/>
          <w:bottom w:val="none" w:color="000000" w:sz="0" w:space="0"/>
          <w:right w:val="none" w:color="auto" w:sz="0" w:space="0"/>
          <w:between w:val="none" w:color="auto" w:sz="0" w:space="0"/>
        </w:pBdr>
        <w:ind w:right="105" w:rightChars="50"/>
        <w:jc w:val="center"/>
        <w:rPr>
          <w:rFonts w:ascii="Arial" w:hAnsi="Arial"/>
          <w:b/>
          <w:sz w:val="31"/>
          <w:highlight w:val="none"/>
        </w:rPr>
      </w:pPr>
    </w:p>
    <w:p w14:paraId="52424FF7">
      <w:pPr>
        <w:pBdr>
          <w:top w:val="none" w:color="auto" w:sz="0" w:space="0"/>
          <w:left w:val="none" w:color="auto" w:sz="0" w:space="0"/>
          <w:bottom w:val="none" w:color="000000" w:sz="0" w:space="0"/>
          <w:right w:val="none" w:color="auto" w:sz="0" w:space="0"/>
          <w:between w:val="none" w:color="auto" w:sz="0" w:space="0"/>
        </w:pBdr>
        <w:ind w:right="105" w:rightChars="50"/>
        <w:jc w:val="center"/>
        <w:rPr>
          <w:rFonts w:ascii="Arial" w:hAnsi="Arial"/>
          <w:b/>
          <w:sz w:val="31"/>
          <w:highlight w:val="none"/>
        </w:rPr>
      </w:pPr>
    </w:p>
    <w:p w14:paraId="36F1A8F7">
      <w:pPr>
        <w:pBdr>
          <w:top w:val="none" w:color="auto" w:sz="0" w:space="0"/>
          <w:left w:val="none" w:color="auto" w:sz="0" w:space="0"/>
          <w:bottom w:val="none" w:color="000000" w:sz="0" w:space="0"/>
          <w:right w:val="none" w:color="auto" w:sz="0" w:space="0"/>
          <w:between w:val="none" w:color="auto" w:sz="0" w:space="0"/>
        </w:pBdr>
        <w:ind w:right="105" w:rightChars="50"/>
        <w:jc w:val="center"/>
        <w:rPr>
          <w:rFonts w:ascii="Arial" w:hAnsi="Arial"/>
          <w:b/>
          <w:sz w:val="31"/>
          <w:highlight w:val="none"/>
        </w:rPr>
      </w:pPr>
    </w:p>
    <w:p w14:paraId="2F289643">
      <w:pPr>
        <w:pBdr>
          <w:top w:val="none" w:color="auto" w:sz="0" w:space="0"/>
          <w:left w:val="none" w:color="auto" w:sz="0" w:space="0"/>
          <w:bottom w:val="none" w:color="000000" w:sz="0" w:space="0"/>
          <w:right w:val="none" w:color="auto" w:sz="0" w:space="0"/>
          <w:between w:val="none" w:color="auto" w:sz="0" w:space="0"/>
        </w:pBdr>
        <w:ind w:right="105" w:rightChars="50"/>
        <w:jc w:val="center"/>
        <w:rPr>
          <w:rFonts w:ascii="Arial" w:hAnsi="Arial"/>
          <w:b/>
          <w:sz w:val="31"/>
          <w:highlight w:val="none"/>
        </w:rPr>
      </w:pPr>
    </w:p>
    <w:p w14:paraId="34A84E38">
      <w:pPr>
        <w:pBdr>
          <w:top w:val="none" w:color="auto" w:sz="0" w:space="0"/>
          <w:left w:val="none" w:color="auto" w:sz="0" w:space="0"/>
          <w:bottom w:val="none" w:color="000000" w:sz="0" w:space="0"/>
          <w:right w:val="none" w:color="auto" w:sz="0" w:space="0"/>
          <w:between w:val="none" w:color="auto" w:sz="0" w:space="0"/>
        </w:pBdr>
        <w:ind w:right="105" w:rightChars="50"/>
        <w:jc w:val="center"/>
        <w:rPr>
          <w:rFonts w:ascii="Arial" w:hAnsi="Arial"/>
          <w:b/>
          <w:sz w:val="31"/>
          <w:highlight w:val="none"/>
        </w:rPr>
      </w:pPr>
    </w:p>
    <w:p w14:paraId="117FFD23">
      <w:pPr>
        <w:pBdr>
          <w:top w:val="none" w:color="auto" w:sz="0" w:space="0"/>
          <w:left w:val="none" w:color="auto" w:sz="0" w:space="0"/>
          <w:bottom w:val="none" w:color="000000" w:sz="0" w:space="0"/>
          <w:right w:val="none" w:color="auto" w:sz="0" w:space="0"/>
          <w:between w:val="none" w:color="auto" w:sz="0" w:space="0"/>
        </w:pBdr>
        <w:ind w:right="105" w:rightChars="50"/>
        <w:jc w:val="center"/>
        <w:rPr>
          <w:rFonts w:ascii="Arial" w:hAnsi="Arial"/>
          <w:b/>
          <w:sz w:val="31"/>
          <w:highlight w:val="none"/>
        </w:rPr>
      </w:pPr>
    </w:p>
    <w:p w14:paraId="51864EA6">
      <w:pPr>
        <w:pStyle w:val="2"/>
        <w:rPr>
          <w:rFonts w:ascii="Arial" w:hAnsi="Arial"/>
          <w:b/>
          <w:sz w:val="31"/>
          <w:highlight w:val="none"/>
        </w:rPr>
      </w:pPr>
    </w:p>
    <w:p w14:paraId="23A41EB1">
      <w:pPr>
        <w:pStyle w:val="2"/>
        <w:rPr>
          <w:rFonts w:ascii="Arial" w:hAnsi="Arial"/>
          <w:b/>
          <w:sz w:val="31"/>
          <w:highlight w:val="none"/>
        </w:rPr>
      </w:pPr>
    </w:p>
    <w:p w14:paraId="62F89265">
      <w:pPr>
        <w:pStyle w:val="2"/>
        <w:rPr>
          <w:rFonts w:ascii="Arial" w:hAnsi="Arial"/>
          <w:b/>
          <w:sz w:val="31"/>
          <w:highlight w:val="none"/>
        </w:rPr>
      </w:pPr>
    </w:p>
    <w:p w14:paraId="40727A9E">
      <w:pPr>
        <w:pStyle w:val="2"/>
        <w:rPr>
          <w:rFonts w:ascii="Arial" w:hAnsi="Arial"/>
          <w:b/>
          <w:sz w:val="31"/>
          <w:highlight w:val="none"/>
        </w:rPr>
      </w:pPr>
    </w:p>
    <w:p w14:paraId="2EB79DC4">
      <w:pPr>
        <w:pStyle w:val="2"/>
        <w:rPr>
          <w:rFonts w:ascii="Arial" w:hAnsi="Arial"/>
          <w:b/>
          <w:sz w:val="31"/>
          <w:highlight w:val="none"/>
        </w:rPr>
      </w:pPr>
    </w:p>
    <w:p w14:paraId="12BA60DC">
      <w:pPr>
        <w:pStyle w:val="2"/>
        <w:rPr>
          <w:rFonts w:ascii="Arial" w:hAnsi="Arial"/>
          <w:b/>
          <w:sz w:val="31"/>
          <w:highlight w:val="none"/>
        </w:rPr>
      </w:pPr>
    </w:p>
    <w:p w14:paraId="5CC0287C">
      <w:pPr>
        <w:pStyle w:val="2"/>
        <w:rPr>
          <w:rFonts w:ascii="Arial" w:hAnsi="Arial"/>
          <w:b/>
          <w:sz w:val="31"/>
          <w:highlight w:val="none"/>
        </w:rPr>
      </w:pPr>
    </w:p>
    <w:p w14:paraId="0AC7F38A">
      <w:pPr>
        <w:pBdr>
          <w:top w:val="none" w:color="auto" w:sz="0" w:space="0"/>
          <w:left w:val="none" w:color="auto" w:sz="0" w:space="0"/>
          <w:bottom w:val="none" w:color="000000" w:sz="0" w:space="0"/>
          <w:right w:val="none" w:color="auto" w:sz="0" w:space="0"/>
          <w:between w:val="none" w:color="auto" w:sz="0" w:space="0"/>
        </w:pBdr>
        <w:ind w:right="105" w:rightChars="50"/>
        <w:jc w:val="center"/>
        <w:rPr>
          <w:rFonts w:ascii="Arial" w:hAnsi="Arial"/>
          <w:b/>
          <w:sz w:val="31"/>
          <w:highlight w:val="none"/>
        </w:rPr>
      </w:pPr>
    </w:p>
    <w:p w14:paraId="23552DD2">
      <w:pPr>
        <w:pBdr>
          <w:top w:val="none" w:color="auto" w:sz="0" w:space="0"/>
          <w:left w:val="none" w:color="auto" w:sz="0" w:space="0"/>
          <w:bottom w:val="none" w:color="000000" w:sz="0" w:space="0"/>
          <w:right w:val="none" w:color="auto" w:sz="0" w:space="0"/>
          <w:between w:val="none" w:color="auto" w:sz="0" w:space="0"/>
        </w:pBdr>
        <w:jc w:val="center"/>
        <w:rPr>
          <w:rFonts w:hint="eastAsia" w:ascii="Arial" w:hAnsi="Arial" w:eastAsia="宋体"/>
          <w:b/>
          <w:sz w:val="32"/>
          <w:highlight w:val="none"/>
          <w:lang w:eastAsia="zh-CN"/>
        </w:rPr>
      </w:pPr>
      <w:r>
        <w:rPr>
          <w:rFonts w:hint="eastAsia" w:ascii="Arial" w:hAnsi="宋体"/>
          <w:b/>
          <w:sz w:val="32"/>
          <w:highlight w:val="none"/>
          <w:lang w:eastAsia="zh-CN"/>
        </w:rPr>
        <w:t>采购</w:t>
      </w:r>
      <w:r>
        <w:rPr>
          <w:rFonts w:hint="eastAsia" w:ascii="Arial" w:hAnsi="宋体"/>
          <w:b/>
          <w:sz w:val="32"/>
          <w:highlight w:val="none"/>
        </w:rPr>
        <w:t>人：</w:t>
      </w:r>
      <w:r>
        <w:rPr>
          <w:rFonts w:hint="eastAsia" w:ascii="Arial" w:hAnsi="宋体"/>
          <w:b/>
          <w:sz w:val="32"/>
          <w:highlight w:val="none"/>
          <w:lang w:val="en-US" w:eastAsia="zh-CN"/>
        </w:rPr>
        <w:t>鲁山豫能抽水蓄能有限公司</w:t>
      </w:r>
    </w:p>
    <w:p w14:paraId="0DED070A">
      <w:pPr>
        <w:pBdr>
          <w:top w:val="none" w:color="auto" w:sz="0" w:space="0"/>
          <w:left w:val="none" w:color="auto" w:sz="0" w:space="0"/>
          <w:bottom w:val="none" w:color="000000" w:sz="0" w:space="0"/>
          <w:right w:val="none" w:color="auto" w:sz="0" w:space="0"/>
          <w:between w:val="none" w:color="auto" w:sz="0" w:space="0"/>
        </w:pBdr>
        <w:jc w:val="center"/>
        <w:rPr>
          <w:rFonts w:hint="eastAsia" w:ascii="Arial" w:hAnsi="宋体"/>
          <w:b/>
          <w:sz w:val="32"/>
          <w:highlight w:val="none"/>
        </w:rPr>
      </w:pPr>
      <w:r>
        <w:rPr>
          <w:rFonts w:hint="eastAsia" w:ascii="Arial" w:hAnsi="宋体"/>
          <w:b/>
          <w:sz w:val="32"/>
          <w:highlight w:val="none"/>
        </w:rPr>
        <w:t>二〇二</w:t>
      </w:r>
      <w:r>
        <w:rPr>
          <w:rFonts w:hint="eastAsia" w:ascii="Arial" w:hAnsi="宋体"/>
          <w:b/>
          <w:sz w:val="32"/>
          <w:highlight w:val="none"/>
          <w:lang w:val="en-US" w:eastAsia="zh-CN"/>
        </w:rPr>
        <w:t>四</w:t>
      </w:r>
      <w:r>
        <w:rPr>
          <w:rFonts w:hint="eastAsia" w:ascii="Arial" w:hAnsi="宋体"/>
          <w:b/>
          <w:sz w:val="32"/>
          <w:highlight w:val="none"/>
        </w:rPr>
        <w:t>年</w:t>
      </w:r>
    </w:p>
    <w:p w14:paraId="1D5DDBE7">
      <w:pPr>
        <w:rPr>
          <w:highlight w:val="none"/>
        </w:rPr>
      </w:pPr>
      <w:r>
        <w:rPr>
          <w:highlight w:val="none"/>
        </w:rPr>
        <w:br w:type="page"/>
      </w:r>
    </w:p>
    <w:p w14:paraId="4FCE1B30"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鲁山豫能抽水蓄能有限公司</w:t>
      </w:r>
    </w:p>
    <w:p w14:paraId="08FC20E4"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巡逻车采购技术规范</w:t>
      </w:r>
    </w:p>
    <w:p w14:paraId="35DE42CB"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本技术规范适用于鲁山豫能抽水蓄能有限公司采购的巡逻车，用于河南鲁山抽水蓄能电站巡逻使用。</w:t>
      </w:r>
    </w:p>
    <w:p w14:paraId="40B4A7B3">
      <w:pPr>
        <w:spacing w:line="600" w:lineRule="exact"/>
        <w:ind w:firstLine="645"/>
        <w:jc w:val="left"/>
        <w:rPr>
          <w:rFonts w:hint="default" w:ascii="黑体" w:hAnsi="黑体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>一、巡逻区域</w:t>
      </w:r>
    </w:p>
    <w:p w14:paraId="4722AFF2">
      <w:pPr>
        <w:spacing w:line="600" w:lineRule="exact"/>
        <w:ind w:firstLine="645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本次采购的巡逻车，用于河南鲁山抽水蓄能电站巡逻使用，主要行驶在进场道路、右岸上坝路、上下库连接路、下水库环库路、上水库环库路、业主营地等道路和区域内。</w:t>
      </w:r>
    </w:p>
    <w:p w14:paraId="026670CD">
      <w:pPr>
        <w:spacing w:line="600" w:lineRule="exact"/>
        <w:ind w:firstLine="645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（1）进场道路。四级、永久道路，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全长约2.928km，设计速度20km/h，最大纵坡6.9%，最短坡长130m,平均每公里纵坡变更次数3.42次，竖曲线最小半径（凸型/凹型）800/1000m。</w:t>
      </w:r>
    </w:p>
    <w:p w14:paraId="09597735">
      <w:pPr>
        <w:spacing w:line="600" w:lineRule="exact"/>
        <w:ind w:firstLine="645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（2）右岸上坝路。场内二级、永久道路，总长约2.88km，水泥混凝土路面。</w:t>
      </w:r>
    </w:p>
    <w:p w14:paraId="4D76F938">
      <w:pPr>
        <w:spacing w:line="600" w:lineRule="exact"/>
        <w:ind w:firstLine="645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（3）上下库连接路。场内三级、永久道路，全程约11.66km，设计标准同进场公路，设计时速20km/h。</w:t>
      </w:r>
    </w:p>
    <w:p w14:paraId="2C785AE5">
      <w:pPr>
        <w:spacing w:line="600" w:lineRule="exact"/>
        <w:ind w:firstLine="645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（4）下水库环库路。场内二级、永久道路，总长约4.07km，水泥混凝土路面。</w:t>
      </w:r>
    </w:p>
    <w:p w14:paraId="3CE972E3">
      <w:pPr>
        <w:spacing w:line="600" w:lineRule="exact"/>
        <w:ind w:firstLine="645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（5）上水库环库路。场内二级、永久道路，总长约2.45km，水泥混凝土路面。</w:t>
      </w:r>
    </w:p>
    <w:p w14:paraId="40EB41E3">
      <w:pPr>
        <w:spacing w:line="600" w:lineRule="exact"/>
        <w:ind w:firstLine="645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（6）业主营地。位于平顶山市鲁山县赵村镇小尔城村牛岭石组西侧坡地，总占地面积约126114m</w:t>
      </w:r>
      <w:r>
        <w:rPr>
          <w:rFonts w:hint="eastAsia" w:ascii="仿宋_GB2312" w:hAnsi="Times New Roman" w:eastAsia="仿宋_GB2312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 w14:paraId="08F7645C">
      <w:pPr>
        <w:spacing w:line="600" w:lineRule="exact"/>
        <w:ind w:firstLine="645"/>
        <w:jc w:val="left"/>
        <w:rPr>
          <w:rFonts w:hint="default" w:ascii="黑体" w:hAnsi="黑体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>二、引用标准</w:t>
      </w:r>
    </w:p>
    <w:p w14:paraId="68E7D51F"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除特别说明外，本次采购的巡逻车采用以下标准，但不仅限以此。凡未注明时间的标准，其最新版本应用于本次采购，如果下述标准之间存在矛盾，则按最高标准执行。</w:t>
      </w:r>
    </w:p>
    <w:p w14:paraId="0A53ECE8"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（1）《非公路用旅游观光车辆制动性能试验方法》GB/T 42611-2023；</w:t>
      </w:r>
    </w:p>
    <w:p w14:paraId="55E134DF"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（2）《非公路用旅游观光车辆风险评价方法》GB/T 39034-2020；</w:t>
      </w:r>
    </w:p>
    <w:p w14:paraId="2499B266"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（3）《非公路用旅游观光车通用技术条件》GB/T21268-2014；</w:t>
      </w:r>
    </w:p>
    <w:p w14:paraId="58493CAB"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（4）《非公路旅游观光车座椅安全带及其固定器》GB/T 28709-2012；</w:t>
      </w:r>
    </w:p>
    <w:p w14:paraId="33A066C4"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（5）《非公路旅游观光车前照灯》GB/T 28710-2012；</w:t>
      </w:r>
    </w:p>
    <w:p w14:paraId="2E290C95"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（6）《非公路旅游观光车用铅酸蓄电池》GB/T 24914-2010；</w:t>
      </w:r>
    </w:p>
    <w:p w14:paraId="2C6EB258"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（7）《非公路旅游观光车安全使用规范》GB 24727-2009。</w:t>
      </w:r>
    </w:p>
    <w:p w14:paraId="72B0135E">
      <w:pPr>
        <w:spacing w:line="600" w:lineRule="exact"/>
        <w:ind w:firstLine="645"/>
        <w:jc w:val="left"/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>三、配置及技术要求</w:t>
      </w:r>
    </w:p>
    <w:p w14:paraId="0B66E01C"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以下为最低配置和技术要求。</w:t>
      </w:r>
    </w:p>
    <w:p w14:paraId="2F7D0C04">
      <w:pPr>
        <w:spacing w:line="600" w:lineRule="exact"/>
        <w:ind w:firstLine="643" w:firstLineChars="200"/>
        <w:rPr>
          <w:rFonts w:hint="default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（一）基本参数</w:t>
      </w:r>
    </w:p>
    <w:p w14:paraId="50345150"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1.3排8座。</w:t>
      </w:r>
    </w:p>
    <w:p w14:paraId="606F9184"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司机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座椅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可调。</w:t>
      </w:r>
    </w:p>
    <w:p w14:paraId="0304EFBF"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全车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座椅统一朝向行驶方向。</w:t>
      </w:r>
    </w:p>
    <w:p w14:paraId="32C711E8">
      <w:pPr>
        <w:spacing w:line="600" w:lineRule="exact"/>
        <w:ind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（二）车身结构</w:t>
      </w:r>
    </w:p>
    <w:p w14:paraId="2E6963FA"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1.高强度钢结构车架。</w:t>
      </w:r>
    </w:p>
    <w:p w14:paraId="59D1E474"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2.车身半封闭（有前档、有顶棚、无门）。</w:t>
      </w:r>
    </w:p>
    <w:p w14:paraId="439FF73E">
      <w:pPr>
        <w:spacing w:line="600" w:lineRule="exact"/>
        <w:ind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（三）制动与安全</w:t>
      </w:r>
    </w:p>
    <w:p w14:paraId="3DA6C618"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制动：四轮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刹车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系统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，驻车制动、制动助力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制动距离不大于6m。</w:t>
      </w:r>
    </w:p>
    <w:p w14:paraId="78603871"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2.安全：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全座位配备安全带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上下口配备安全链。</w:t>
      </w:r>
    </w:p>
    <w:p w14:paraId="7BE2CF2A"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3.转向：方向盘式、转向助力。</w:t>
      </w:r>
    </w:p>
    <w:p w14:paraId="5E3315C1">
      <w:pPr>
        <w:spacing w:line="600" w:lineRule="exact"/>
        <w:ind w:firstLine="643" w:firstLineChars="200"/>
        <w:rPr>
          <w:rFonts w:hint="default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（四）喊话</w:t>
      </w:r>
      <w:r>
        <w:rPr>
          <w:rFonts w:hint="default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系统</w:t>
      </w:r>
    </w:p>
    <w:p w14:paraId="790ACBBA"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配备喊话器一套。</w:t>
      </w:r>
    </w:p>
    <w:p w14:paraId="5CDD897C">
      <w:pPr>
        <w:spacing w:line="600" w:lineRule="exact"/>
        <w:ind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（五）动力系统</w:t>
      </w:r>
    </w:p>
    <w:p w14:paraId="5F70BE15"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电机：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7.5k</w:t>
      </w: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W及以上。</w:t>
      </w:r>
    </w:p>
    <w:p w14:paraId="3ED9CEBF"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2.充电机：车载式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，需满足充电时间要求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 w14:paraId="0181957E"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3.动力电池组：铅酸免维护电池，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需满足续航里程、满载时最大爬坡角度等要求，容量不低于9kWh。</w:t>
      </w:r>
    </w:p>
    <w:p w14:paraId="38AE3CDD"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4.充电时间：不超过10小时。</w:t>
      </w:r>
    </w:p>
    <w:p w14:paraId="178A5588"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5.最高车速：30km/h。</w:t>
      </w:r>
    </w:p>
    <w:p w14:paraId="545ED145"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6.最大爬坡角度：15%以上。</w:t>
      </w:r>
    </w:p>
    <w:p w14:paraId="3DCE002B"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7.续航里程：空载不低于100km、满载不低于80km。</w:t>
      </w:r>
    </w:p>
    <w:p w14:paraId="27789FA9">
      <w:pPr>
        <w:spacing w:line="600" w:lineRule="exact"/>
        <w:ind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（六）车轮</w:t>
      </w:r>
    </w:p>
    <w:p w14:paraId="305033BF"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轮毂材质钢质、铝合金均可，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轮胎不低于155R13LT。</w:t>
      </w:r>
    </w:p>
    <w:p w14:paraId="546EB358">
      <w:pPr>
        <w:spacing w:line="600" w:lineRule="exact"/>
        <w:ind w:firstLine="643" w:firstLineChars="200"/>
        <w:rPr>
          <w:rFonts w:hint="default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（七）灯光及开关</w:t>
      </w:r>
    </w:p>
    <w:p w14:paraId="0DD30B7E"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1.灯光：配备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前大灯、后尾灯、制动灯、前后转向灯、应急灯等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 w14:paraId="49146B18"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2.声音：配备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电喇叭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倒车蜂鸣提示音等。</w:t>
      </w:r>
    </w:p>
    <w:p w14:paraId="1EC2EE53"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3.开关：配备全车总电源开关、灯光开关（独立前大灯、转向灯、应急灯等开关）、喊话器开关、电控喇叭、雨刷开关等。</w:t>
      </w:r>
    </w:p>
    <w:p w14:paraId="55A0621B">
      <w:pPr>
        <w:spacing w:line="600" w:lineRule="exact"/>
        <w:ind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（八）颜色及防腐</w:t>
      </w:r>
    </w:p>
    <w:p w14:paraId="45CED323"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1.车身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蓝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白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相间，具体图样视最终中标车辆建构确定。</w:t>
      </w:r>
    </w:p>
    <w:p w14:paraId="62D95FAD"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车身前后显著位置标注“安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保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巡逻”字样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 w14:paraId="46074AA4"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油漆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应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确保防腐性。</w:t>
      </w:r>
    </w:p>
    <w:p w14:paraId="5F965903">
      <w:pPr>
        <w:spacing w:line="600" w:lineRule="exact"/>
        <w:ind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（七）其他要求</w:t>
      </w:r>
    </w:p>
    <w:p w14:paraId="2DE91BC1"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配备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灭火器支架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（含灭火器）。</w:t>
      </w:r>
    </w:p>
    <w:p w14:paraId="7FA9D277"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配备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随车工具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 w14:paraId="24570C26"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3.座椅及内饰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使用阻燃材料，舒适耐用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 w14:paraId="40A91692"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焊接牢固，装配精密，符合相关行业标准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 w14:paraId="5E549E7B"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5.配备雨刷、外置后视镜。</w:t>
      </w:r>
    </w:p>
    <w:p w14:paraId="4A25E8E8">
      <w:pPr>
        <w:spacing w:line="600" w:lineRule="exact"/>
        <w:ind w:firstLine="645"/>
        <w:jc w:val="left"/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>四、售后服务与质保</w:t>
      </w:r>
    </w:p>
    <w:p w14:paraId="405AEAAE"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1.质保期限:整车质保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期1年。</w:t>
      </w:r>
    </w:p>
    <w:p w14:paraId="321F52DB"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2.售后服务:接到通知后，48小时内提供上门服务，包括故障排查、维修及配件更换等。</w:t>
      </w:r>
      <w:bookmarkStart w:id="1" w:name="_GoBack"/>
      <w:bookmarkEnd w:id="1"/>
    </w:p>
    <w:p w14:paraId="529EF5A9">
      <w:pPr>
        <w:spacing w:line="600" w:lineRule="exact"/>
        <w:ind w:firstLine="645"/>
        <w:jc w:val="left"/>
        <w:rPr>
          <w:rFonts w:hint="default" w:ascii="黑体" w:hAnsi="黑体" w:eastAsia="黑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highlight w:val="none"/>
          <w:lang w:val="en-US" w:eastAsia="zh-CN"/>
        </w:rPr>
        <w:t>五、其他要求</w:t>
      </w:r>
    </w:p>
    <w:p w14:paraId="483C8251"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需提供合格证明、检验报告等资料。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Y2IxYzUwNzJlNzYzMzEyMmI0Zjc1NzM5YjE0ZDYifQ=="/>
  </w:docVars>
  <w:rsids>
    <w:rsidRoot w:val="00000000"/>
    <w:rsid w:val="17FC03BD"/>
    <w:rsid w:val="1C067D3B"/>
    <w:rsid w:val="1C275A5A"/>
    <w:rsid w:val="1DF04FC8"/>
    <w:rsid w:val="20547881"/>
    <w:rsid w:val="211750CE"/>
    <w:rsid w:val="275E25F4"/>
    <w:rsid w:val="2C4734EE"/>
    <w:rsid w:val="2E612353"/>
    <w:rsid w:val="31F3222E"/>
    <w:rsid w:val="3B4555A4"/>
    <w:rsid w:val="43880DE7"/>
    <w:rsid w:val="4BEC6AE0"/>
    <w:rsid w:val="4D802454"/>
    <w:rsid w:val="56C24E48"/>
    <w:rsid w:val="588E6501"/>
    <w:rsid w:val="60866151"/>
    <w:rsid w:val="659D0A87"/>
    <w:rsid w:val="6858173A"/>
    <w:rsid w:val="69DB43CC"/>
    <w:rsid w:val="6E00147A"/>
    <w:rsid w:val="74D97943"/>
    <w:rsid w:val="78AB79C5"/>
    <w:rsid w:val="78C3592D"/>
    <w:rsid w:val="7F2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1351</Words>
  <Characters>1556</Characters>
  <Lines>0</Lines>
  <Paragraphs>0</Paragraphs>
  <TotalTime>22</TotalTime>
  <ScaleCrop>false</ScaleCrop>
  <LinksUpToDate>false</LinksUpToDate>
  <CharactersWithSpaces>1562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2024-07-19T01:24:00Z</dcterms:created>
  <dc:creator>Administrator</dc:creator>
  <cp:lastModifiedBy>微信用户</cp:lastModifiedBy>
  <dcterms:modified xsi:type="dcterms:W3CDTF">2024-11-21T09:31:56Z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610242F3561847FFB65624B715245712_12</vt:lpwstr>
  </property>
</Properties>
</file>