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F369F">
      <w:pPr>
        <w:pStyle w:val="3"/>
        <w:bidi w:val="0"/>
        <w:jc w:val="center"/>
      </w:pPr>
      <w:r>
        <w:rPr>
          <w:rFonts w:hint="eastAsia"/>
          <w:lang w:val="en-US" w:eastAsia="zh-CN"/>
        </w:rPr>
        <w:t>城发环保能源（新安）有限公司</w:t>
      </w:r>
    </w:p>
    <w:p w14:paraId="11F2DBE0">
      <w:pPr>
        <w:pStyle w:val="3"/>
        <w:bidi w:val="0"/>
        <w:jc w:val="center"/>
        <w:rPr>
          <w:rFonts w:hint="eastAsia"/>
          <w:lang w:val="en-US" w:eastAsia="zh-CN"/>
        </w:rPr>
      </w:pPr>
      <w:r>
        <w:rPr>
          <w:rFonts w:hint="eastAsia"/>
          <w:lang w:val="en-US" w:eastAsia="zh-CN"/>
        </w:rPr>
        <w:t>2025年度实验室仪器药剂采购招标技术规范</w:t>
      </w:r>
    </w:p>
    <w:p w14:paraId="3352BF55">
      <w:pPr>
        <w:pStyle w:val="2"/>
        <w:numPr>
          <w:ilvl w:val="0"/>
          <w:numId w:val="1"/>
        </w:numPr>
        <w:bidi w:val="0"/>
        <w:rPr>
          <w:b/>
          <w:bCs/>
        </w:rPr>
      </w:pPr>
      <w:r>
        <w:rPr>
          <w:rFonts w:hint="eastAsia"/>
          <w:b/>
          <w:bCs/>
        </w:rPr>
        <w:t>总则</w:t>
      </w:r>
    </w:p>
    <w:p w14:paraId="29F730BC">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本技术规范书只适用</w:t>
      </w:r>
      <w:r>
        <w:rPr>
          <w:rFonts w:hint="eastAsia" w:cs="仿宋_GB2312" w:asciiTheme="minorEastAsia" w:hAnsiTheme="minorEastAsia"/>
          <w:kern w:val="0"/>
          <w:sz w:val="24"/>
          <w:szCs w:val="24"/>
          <w:lang w:val="en-US" w:eastAsia="zh-CN"/>
        </w:rPr>
        <w:t>城发环保能源（新安）有限公司</w:t>
      </w:r>
      <w:r>
        <w:rPr>
          <w:rFonts w:hint="eastAsia" w:cs="仿宋_GB2312" w:asciiTheme="minorEastAsia" w:hAnsiTheme="minorEastAsia"/>
          <w:kern w:val="0"/>
          <w:sz w:val="24"/>
          <w:szCs w:val="24"/>
        </w:rPr>
        <w:t>。本技术规范书提出了最低限度要求，并未对一些技术细节做出规定，也未充分引述有关标准和规范的条文，投标方应保证提供符合本规范书和有关工业标准和企业标准的优质产品。</w:t>
      </w:r>
    </w:p>
    <w:p w14:paraId="7E137F37">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本技术规范书所使用的标准若与投标方所执行的标准发生矛盾时，按较高标准执行。</w:t>
      </w:r>
    </w:p>
    <w:p w14:paraId="224CC9BB">
      <w:pPr>
        <w:numPr>
          <w:ilvl w:val="1"/>
          <w:numId w:val="1"/>
        </w:numPr>
        <w:spacing w:line="360" w:lineRule="auto"/>
        <w:rPr>
          <w:rFonts w:cs="宋体" w:asciiTheme="minorEastAsia" w:hAnsiTheme="minorEastAsia"/>
          <w:b/>
          <w:color w:val="000000"/>
          <w:kern w:val="0"/>
          <w:sz w:val="24"/>
          <w:szCs w:val="24"/>
        </w:rPr>
      </w:pPr>
      <w:r>
        <w:rPr>
          <w:rFonts w:hint="eastAsia" w:cs="仿宋_GB2312" w:asciiTheme="minorEastAsia" w:hAnsiTheme="minorEastAsia"/>
          <w:kern w:val="0"/>
          <w:sz w:val="24"/>
          <w:szCs w:val="24"/>
        </w:rPr>
        <w:t>如果投标方没有以书面形式对本技术规范书的内容提出异议，那么招标方认为投标方提供的产品完全符合本规范书的要求。</w:t>
      </w:r>
    </w:p>
    <w:p w14:paraId="75276685">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本技术规范书经招标方和中标方双方确认后作为订货合同的技术附件，与合同正文具有同等法律效力。如中标方不遵守本协议，招标方有权拒收货</w:t>
      </w:r>
      <w:r>
        <w:rPr>
          <w:rFonts w:hint="eastAsia" w:cs="宋体" w:asciiTheme="minorEastAsia" w:hAnsiTheme="minorEastAsia"/>
          <w:kern w:val="0"/>
          <w:sz w:val="24"/>
          <w:szCs w:val="24"/>
        </w:rPr>
        <w:t>﹑</w:t>
      </w:r>
      <w:r>
        <w:rPr>
          <w:rFonts w:hint="eastAsia" w:cs="仿宋_GB2312" w:asciiTheme="minorEastAsia" w:hAnsiTheme="minorEastAsia"/>
          <w:kern w:val="0"/>
          <w:sz w:val="24"/>
          <w:szCs w:val="24"/>
        </w:rPr>
        <w:t>拒付款。</w:t>
      </w:r>
    </w:p>
    <w:p w14:paraId="3D7C2EBB">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本工程所需药剂均为优级品。投标方保证提供药剂为品质优良的，配方是先进的、成熟的和安全可靠的，且药剂的技术经济性满足招标方的要求。</w:t>
      </w:r>
    </w:p>
    <w:p w14:paraId="50F7F2B3">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本技术规范书规定的供货范围为：</w:t>
      </w:r>
      <w:r>
        <w:rPr>
          <w:rFonts w:hint="eastAsia" w:cs="仿宋_GB2312" w:asciiTheme="minorEastAsia" w:hAnsiTheme="minorEastAsia"/>
          <w:kern w:val="0"/>
          <w:sz w:val="24"/>
          <w:szCs w:val="24"/>
          <w:lang w:val="en-US" w:eastAsia="zh-CN"/>
        </w:rPr>
        <w:t>化验室仪器药剂详见4实验室仪器药剂范围</w:t>
      </w:r>
      <w:r>
        <w:rPr>
          <w:rFonts w:hint="eastAsia" w:cs="仿宋_GB2312" w:asciiTheme="minorEastAsia" w:hAnsiTheme="minorEastAsia"/>
          <w:color w:val="auto"/>
          <w:kern w:val="0"/>
          <w:sz w:val="24"/>
          <w:szCs w:val="24"/>
          <w:lang w:eastAsia="zh-CN"/>
        </w:rPr>
        <w:t>，</w:t>
      </w:r>
      <w:r>
        <w:rPr>
          <w:rFonts w:hint="eastAsia" w:cs="仿宋_GB2312" w:asciiTheme="minorEastAsia" w:hAnsiTheme="minorEastAsia"/>
          <w:kern w:val="0"/>
          <w:sz w:val="24"/>
          <w:szCs w:val="24"/>
        </w:rPr>
        <w:t>中标方派</w:t>
      </w:r>
      <w:r>
        <w:rPr>
          <w:rFonts w:cs="仿宋_GB2312" w:asciiTheme="minorEastAsia" w:hAnsiTheme="minorEastAsia"/>
          <w:kern w:val="0"/>
          <w:sz w:val="24"/>
          <w:szCs w:val="24"/>
        </w:rPr>
        <w:t xml:space="preserve">1 </w:t>
      </w:r>
      <w:r>
        <w:rPr>
          <w:rFonts w:hint="eastAsia" w:cs="仿宋_GB2312" w:asciiTheme="minorEastAsia" w:hAnsiTheme="minorEastAsia"/>
          <w:kern w:val="0"/>
          <w:sz w:val="24"/>
          <w:szCs w:val="24"/>
        </w:rPr>
        <w:t>人跟踪运行管理半年以上。</w:t>
      </w:r>
    </w:p>
    <w:p w14:paraId="0FE115DE">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如因投标方原因，造成水质不合格或设备的结垢腐蚀超出规范指标时或影响设备运行的，招标方有权随时中止合同。</w:t>
      </w:r>
    </w:p>
    <w:p w14:paraId="2DD03630">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投标方应提供详细供货清单，清单中依次说明药剂化学成分、型号、规格、数量、生产厂家等内容。</w:t>
      </w:r>
    </w:p>
    <w:p w14:paraId="159BC3E8">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投标方应提供及时有效的技术服务，在原始开车、化学水系统化学清洗、预膜、系统运行期间，派遣具有一定资质和技术水平的专业人员进行现场技术指导。</w:t>
      </w:r>
    </w:p>
    <w:p w14:paraId="12128037">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投标方应具备相关化</w:t>
      </w:r>
      <w:r>
        <w:rPr>
          <w:rFonts w:hint="eastAsia" w:cs="仿宋_GB2312" w:asciiTheme="minorEastAsia" w:hAnsiTheme="minorEastAsia"/>
          <w:kern w:val="0"/>
          <w:sz w:val="24"/>
          <w:szCs w:val="24"/>
          <w:lang w:val="en-US" w:eastAsia="zh-CN"/>
        </w:rPr>
        <w:t>学</w:t>
      </w:r>
      <w:r>
        <w:rPr>
          <w:rFonts w:hint="eastAsia" w:cs="仿宋_GB2312" w:asciiTheme="minorEastAsia" w:hAnsiTheme="minorEastAsia"/>
          <w:kern w:val="0"/>
          <w:sz w:val="24"/>
          <w:szCs w:val="24"/>
        </w:rPr>
        <w:t>药剂经营运输资质，由此引起的第三方索赔由投标方负责。</w:t>
      </w:r>
    </w:p>
    <w:p w14:paraId="25DF9818">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招标方对投标方设计文件及制造文件的审核不能代替或免除投标方对所供系统应尽的责任、质量保证或其它相关义务。</w:t>
      </w:r>
    </w:p>
    <w:p w14:paraId="5CCB49D6">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本技术规范书未尽事宜，由买、卖双方共同协商确定。</w:t>
      </w:r>
    </w:p>
    <w:p w14:paraId="494EEE2A">
      <w:pPr>
        <w:pStyle w:val="2"/>
        <w:numPr>
          <w:ilvl w:val="0"/>
          <w:numId w:val="1"/>
        </w:numPr>
        <w:bidi w:val="0"/>
        <w:rPr>
          <w:b/>
          <w:bCs/>
        </w:rPr>
      </w:pPr>
      <w:r>
        <w:rPr>
          <w:rFonts w:hint="eastAsia"/>
          <w:b/>
          <w:bCs/>
        </w:rPr>
        <w:t>概述</w:t>
      </w:r>
    </w:p>
    <w:p w14:paraId="6C330614">
      <w:pPr>
        <w:numPr>
          <w:ilvl w:val="1"/>
          <w:numId w:val="1"/>
        </w:numPr>
        <w:spacing w:line="360" w:lineRule="auto"/>
        <w:rPr>
          <w:rFonts w:cs="宋体" w:asciiTheme="minorEastAsia" w:hAnsiTheme="minorEastAsia"/>
          <w:b/>
          <w:color w:val="000000"/>
          <w:kern w:val="0"/>
          <w:sz w:val="24"/>
          <w:szCs w:val="24"/>
        </w:rPr>
      </w:pPr>
      <w:bookmarkStart w:id="0" w:name="_Toc387832946"/>
      <w:r>
        <w:rPr>
          <w:rFonts w:hint="eastAsia" w:cs="宋体" w:asciiTheme="minorEastAsia" w:hAnsiTheme="minorEastAsia"/>
          <w:b/>
          <w:color w:val="000000"/>
          <w:kern w:val="0"/>
          <w:sz w:val="24"/>
          <w:szCs w:val="24"/>
        </w:rPr>
        <w:t>项目名称</w:t>
      </w:r>
      <w:bookmarkEnd w:id="0"/>
    </w:p>
    <w:p w14:paraId="05AFB0B7">
      <w:pPr>
        <w:spacing w:line="360" w:lineRule="auto"/>
        <w:ind w:left="710"/>
        <w:rPr>
          <w:rFonts w:cs="仿宋_GB2312" w:asciiTheme="minorEastAsia" w:hAnsiTheme="minorEastAsia"/>
          <w:color w:val="000000"/>
          <w:kern w:val="0"/>
          <w:sz w:val="24"/>
          <w:szCs w:val="24"/>
        </w:rPr>
      </w:pPr>
      <w:r>
        <w:rPr>
          <w:rFonts w:hint="eastAsia" w:cs="仿宋_GB2312" w:asciiTheme="minorEastAsia" w:hAnsiTheme="minorEastAsia"/>
          <w:kern w:val="0"/>
          <w:sz w:val="24"/>
          <w:szCs w:val="24"/>
          <w:lang w:val="en-US" w:eastAsia="zh-CN"/>
        </w:rPr>
        <w:t>城发环保能源（新安）有限公司垃圾发电</w:t>
      </w:r>
      <w:r>
        <w:rPr>
          <w:rFonts w:hint="eastAsia" w:cs="仿宋_GB2312" w:asciiTheme="minorEastAsia" w:hAnsiTheme="minorEastAsia"/>
          <w:color w:val="000000"/>
          <w:kern w:val="0"/>
          <w:sz w:val="24"/>
          <w:szCs w:val="24"/>
        </w:rPr>
        <w:t>项目</w:t>
      </w:r>
    </w:p>
    <w:p w14:paraId="7244CAC8">
      <w:pPr>
        <w:numPr>
          <w:ilvl w:val="1"/>
          <w:numId w:val="1"/>
        </w:numPr>
        <w:spacing w:line="360" w:lineRule="auto"/>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工程范围</w:t>
      </w:r>
    </w:p>
    <w:p w14:paraId="1FCC9731">
      <w:pPr>
        <w:numPr>
          <w:ilvl w:val="2"/>
          <w:numId w:val="1"/>
        </w:numPr>
        <w:spacing w:line="360" w:lineRule="auto"/>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药剂范围</w:t>
      </w:r>
    </w:p>
    <w:p w14:paraId="0B4C0B61">
      <w:pPr>
        <w:numPr>
          <w:ilvl w:val="1"/>
          <w:numId w:val="1"/>
        </w:numPr>
        <w:autoSpaceDE w:val="0"/>
        <w:autoSpaceDN w:val="0"/>
        <w:adjustRightInd w:val="0"/>
        <w:spacing w:line="360" w:lineRule="auto"/>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本工程是</w:t>
      </w:r>
      <w:r>
        <w:rPr>
          <w:rFonts w:hint="eastAsia" w:cs="仿宋_GB2312" w:asciiTheme="minorEastAsia" w:hAnsiTheme="minorEastAsia"/>
          <w:kern w:val="0"/>
          <w:sz w:val="24"/>
          <w:szCs w:val="24"/>
          <w:lang w:val="en-US" w:eastAsia="zh-CN"/>
        </w:rPr>
        <w:t>城发环保能源（新安）有限公司</w:t>
      </w:r>
      <w:r>
        <w:rPr>
          <w:rFonts w:hint="eastAsia" w:cs="仿宋_GB2312" w:asciiTheme="minorEastAsia" w:hAnsiTheme="minorEastAsia"/>
          <w:kern w:val="0"/>
          <w:sz w:val="24"/>
          <w:szCs w:val="24"/>
        </w:rPr>
        <w:t>垃圾</w:t>
      </w:r>
      <w:r>
        <w:rPr>
          <w:rFonts w:hint="eastAsia" w:cs="仿宋_GB2312" w:asciiTheme="minorEastAsia" w:hAnsiTheme="minorEastAsia"/>
          <w:kern w:val="0"/>
          <w:sz w:val="24"/>
          <w:szCs w:val="24"/>
          <w:lang w:val="en-US" w:eastAsia="zh-CN"/>
        </w:rPr>
        <w:t>发电</w:t>
      </w:r>
      <w:r>
        <w:rPr>
          <w:rFonts w:hint="eastAsia" w:cs="仿宋_GB2312" w:asciiTheme="minorEastAsia" w:hAnsiTheme="minorEastAsia"/>
          <w:kern w:val="0"/>
          <w:sz w:val="24"/>
          <w:szCs w:val="24"/>
        </w:rPr>
        <w:t>项目，供货范围</w:t>
      </w:r>
      <w:r>
        <w:rPr>
          <w:rFonts w:hint="eastAsia" w:cs="仿宋_GB2312" w:asciiTheme="minorEastAsia" w:hAnsiTheme="minorEastAsia"/>
          <w:kern w:val="0"/>
          <w:sz w:val="24"/>
          <w:szCs w:val="24"/>
          <w:lang w:val="en-US" w:eastAsia="zh-CN"/>
        </w:rPr>
        <w:t>化验室仪器药剂详见4实验室仪器药剂范围。</w:t>
      </w:r>
    </w:p>
    <w:p w14:paraId="09BD857D">
      <w:pPr>
        <w:numPr>
          <w:ilvl w:val="2"/>
          <w:numId w:val="1"/>
        </w:numPr>
        <w:spacing w:line="360" w:lineRule="auto"/>
        <w:rPr>
          <w:rFonts w:cs="宋体" w:asciiTheme="minorEastAsia" w:hAnsiTheme="minorEastAsia"/>
          <w:b/>
        </w:rPr>
      </w:pPr>
      <w:r>
        <w:rPr>
          <w:rFonts w:hint="eastAsia" w:cs="宋体" w:asciiTheme="minorEastAsia" w:hAnsiTheme="minorEastAsia"/>
          <w:b/>
          <w:color w:val="000000"/>
          <w:kern w:val="0"/>
          <w:sz w:val="24"/>
          <w:szCs w:val="24"/>
        </w:rPr>
        <w:t>调试</w:t>
      </w:r>
      <w:r>
        <w:rPr>
          <w:rFonts w:hint="eastAsia" w:cs="宋体" w:asciiTheme="minorEastAsia" w:hAnsiTheme="minorEastAsia"/>
          <w:b/>
          <w:kern w:val="0"/>
          <w:sz w:val="24"/>
          <w:szCs w:val="24"/>
        </w:rPr>
        <w:t>范围</w:t>
      </w:r>
    </w:p>
    <w:p w14:paraId="394C9D5E">
      <w:pPr>
        <w:autoSpaceDE w:val="0"/>
        <w:autoSpaceDN w:val="0"/>
        <w:adjustRightInd w:val="0"/>
        <w:spacing w:line="360" w:lineRule="auto"/>
        <w:ind w:left="567"/>
        <w:jc w:val="left"/>
        <w:rPr>
          <w:rFonts w:cs="仿宋_GB2312" w:asciiTheme="minorEastAsia" w:hAnsiTheme="minorEastAsia"/>
          <w:kern w:val="0"/>
          <w:sz w:val="24"/>
          <w:szCs w:val="24"/>
        </w:rPr>
      </w:pPr>
      <w:r>
        <w:rPr>
          <w:rFonts w:hint="eastAsia" w:cs="仿宋_GB2312" w:asciiTheme="minorEastAsia" w:hAnsiTheme="minorEastAsia"/>
          <w:kern w:val="0"/>
          <w:sz w:val="24"/>
          <w:szCs w:val="24"/>
          <w:lang w:val="en-US" w:eastAsia="zh-CN"/>
        </w:rPr>
        <w:t>投</w:t>
      </w:r>
      <w:r>
        <w:rPr>
          <w:rFonts w:hint="eastAsia" w:cs="仿宋_GB2312" w:asciiTheme="minorEastAsia" w:hAnsiTheme="minorEastAsia"/>
          <w:kern w:val="0"/>
          <w:sz w:val="24"/>
          <w:szCs w:val="24"/>
        </w:rPr>
        <w:t>标方</w:t>
      </w:r>
      <w:r>
        <w:rPr>
          <w:rFonts w:hint="eastAsia" w:cs="仿宋_GB2312" w:asciiTheme="minorEastAsia" w:hAnsiTheme="minorEastAsia"/>
          <w:kern w:val="0"/>
          <w:sz w:val="24"/>
          <w:szCs w:val="24"/>
          <w:lang w:val="en-US" w:eastAsia="zh-CN"/>
        </w:rPr>
        <w:t>应</w:t>
      </w:r>
      <w:r>
        <w:rPr>
          <w:rFonts w:hint="eastAsia" w:cs="仿宋_GB2312" w:asciiTheme="minorEastAsia" w:hAnsiTheme="minorEastAsia"/>
          <w:kern w:val="0"/>
          <w:sz w:val="24"/>
          <w:szCs w:val="24"/>
        </w:rPr>
        <w:t>派专业技术人员</w:t>
      </w:r>
      <w:r>
        <w:rPr>
          <w:rFonts w:hint="eastAsia" w:cs="仿宋_GB2312" w:asciiTheme="minorEastAsia" w:hAnsiTheme="minorEastAsia"/>
          <w:kern w:val="0"/>
          <w:sz w:val="24"/>
          <w:szCs w:val="24"/>
          <w:lang w:val="en-US" w:eastAsia="zh-CN"/>
        </w:rPr>
        <w:t>到现场对相应水质进行取样化验，</w:t>
      </w:r>
      <w:r>
        <w:rPr>
          <w:rFonts w:hint="eastAsia" w:cs="仿宋_GB2312" w:asciiTheme="minorEastAsia" w:hAnsiTheme="minorEastAsia"/>
          <w:kern w:val="0"/>
          <w:sz w:val="24"/>
          <w:szCs w:val="24"/>
        </w:rPr>
        <w:t>并结合现场取样的水质分析结果，以书面形式提供一套编制详细完整的各系统药剂配制浓度及药剂投加量的运行方案。</w:t>
      </w:r>
    </w:p>
    <w:p w14:paraId="648520A5">
      <w:pPr>
        <w:pStyle w:val="2"/>
        <w:numPr>
          <w:ilvl w:val="0"/>
          <w:numId w:val="1"/>
        </w:numPr>
        <w:bidi w:val="0"/>
        <w:rPr>
          <w:b/>
          <w:bCs/>
        </w:rPr>
      </w:pPr>
      <w:r>
        <w:rPr>
          <w:rFonts w:hint="eastAsia"/>
          <w:b/>
          <w:bCs/>
        </w:rPr>
        <w:t>标准、规范</w:t>
      </w:r>
    </w:p>
    <w:p w14:paraId="04C11158">
      <w:pPr>
        <w:pStyle w:val="6"/>
        <w:numPr>
          <w:ilvl w:val="1"/>
          <w:numId w:val="1"/>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总要求</w:t>
      </w:r>
      <w:r>
        <w:rPr>
          <w:rFonts w:hint="eastAsia" w:cs="仿宋_GB2312" w:asciiTheme="minorEastAsia" w:hAnsiTheme="minorEastAsia" w:eastAsiaTheme="minorEastAsia"/>
          <w:b/>
          <w:sz w:val="24"/>
          <w:szCs w:val="24"/>
        </w:rPr>
        <w:t xml:space="preserve">本工程检验、验收和试车应遵循的规范如下：    </w:t>
      </w:r>
      <w:r>
        <w:rPr>
          <w:rFonts w:hint="eastAsia" w:cs="仿宋_GB2312" w:asciiTheme="minorEastAsia" w:hAnsiTheme="minorEastAsia" w:eastAsiaTheme="minorEastAsia"/>
          <w:sz w:val="24"/>
          <w:szCs w:val="24"/>
        </w:rPr>
        <w:t xml:space="preserve">                </w:t>
      </w:r>
    </w:p>
    <w:p w14:paraId="6F17EF88">
      <w:pPr>
        <w:pStyle w:val="6"/>
        <w:numPr>
          <w:ilvl w:val="0"/>
          <w:numId w:val="0"/>
        </w:numPr>
        <w:spacing w:line="360" w:lineRule="auto"/>
        <w:ind w:leftChars="0" w:firstLine="720" w:firstLineChars="30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石油化工企业循环水场设计规范</w:t>
      </w:r>
      <w:r>
        <w:rPr>
          <w:rFonts w:cs="仿宋_GB2312" w:asciiTheme="minorEastAsia" w:hAnsiTheme="minorEastAsia" w:eastAsiaTheme="minorEastAsia"/>
          <w:sz w:val="24"/>
          <w:szCs w:val="24"/>
        </w:rPr>
        <w:t xml:space="preserve"> SH3016-1990</w:t>
      </w:r>
      <w:r>
        <w:rPr>
          <w:rFonts w:hint="eastAsia" w:cs="仿宋_GB2312" w:asciiTheme="minorEastAsia" w:hAnsiTheme="minorEastAsia" w:eastAsiaTheme="minorEastAsia"/>
          <w:sz w:val="24"/>
          <w:szCs w:val="24"/>
        </w:rPr>
        <w:t xml:space="preserve">                      </w:t>
      </w:r>
    </w:p>
    <w:p w14:paraId="1CE9E179">
      <w:pPr>
        <w:pStyle w:val="6"/>
        <w:numPr>
          <w:ilvl w:val="0"/>
          <w:numId w:val="0"/>
        </w:numPr>
        <w:spacing w:line="360" w:lineRule="auto"/>
        <w:ind w:leftChars="0" w:firstLine="720" w:firstLineChars="30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工业循环冷却水处理设计规范</w:t>
      </w:r>
      <w:r>
        <w:rPr>
          <w:rFonts w:cs="仿宋_GB2312" w:asciiTheme="minorEastAsia" w:hAnsiTheme="minorEastAsia" w:eastAsiaTheme="minorEastAsia"/>
          <w:sz w:val="24"/>
          <w:szCs w:val="24"/>
        </w:rPr>
        <w:t xml:space="preserve"> GB50050-2007</w:t>
      </w:r>
      <w:r>
        <w:rPr>
          <w:rFonts w:hint="eastAsia" w:cs="仿宋_GB2312" w:asciiTheme="minorEastAsia" w:hAnsiTheme="minorEastAsia" w:eastAsiaTheme="minorEastAsia"/>
          <w:sz w:val="24"/>
          <w:szCs w:val="24"/>
        </w:rPr>
        <w:t xml:space="preserve">                       </w:t>
      </w:r>
    </w:p>
    <w:p w14:paraId="7265511D">
      <w:pPr>
        <w:pStyle w:val="6"/>
        <w:numPr>
          <w:ilvl w:val="0"/>
          <w:numId w:val="0"/>
        </w:numPr>
        <w:spacing w:line="360" w:lineRule="auto"/>
        <w:ind w:leftChars="0"/>
        <w:rPr>
          <w:rFonts w:asciiTheme="minorEastAsia" w:hAnsiTheme="minorEastAsia" w:eastAsiaTheme="minorEastAsia"/>
          <w:b/>
          <w:sz w:val="24"/>
          <w:szCs w:val="24"/>
        </w:rPr>
      </w:pPr>
      <w:r>
        <w:rPr>
          <w:rFonts w:hint="eastAsia" w:cs="仿宋_GB2312" w:asciiTheme="minorEastAsia" w:hAnsiTheme="minorEastAsia" w:eastAsiaTheme="minorEastAsia"/>
          <w:sz w:val="24"/>
          <w:szCs w:val="24"/>
        </w:rPr>
        <w:t xml:space="preserve"> </w:t>
      </w:r>
      <w:r>
        <w:rPr>
          <w:rFonts w:hint="eastAsia" w:cs="仿宋_GB2312" w:asciiTheme="minorEastAsia" w:hAnsiTheme="minorEastAsia" w:eastAsiaTheme="minorEastAsia"/>
          <w:sz w:val="24"/>
          <w:szCs w:val="24"/>
          <w:lang w:val="en-US" w:eastAsia="zh-CN"/>
        </w:rPr>
        <w:t xml:space="preserve">     </w:t>
      </w:r>
      <w:r>
        <w:rPr>
          <w:rFonts w:hint="eastAsia" w:cs="仿宋_GB2312" w:asciiTheme="minorEastAsia" w:hAnsiTheme="minorEastAsia" w:eastAsiaTheme="minorEastAsia"/>
          <w:sz w:val="24"/>
          <w:szCs w:val="24"/>
        </w:rPr>
        <w:t>化工企业循环冷却水处理加药装置设计统一规定</w:t>
      </w:r>
      <w:r>
        <w:rPr>
          <w:rFonts w:cs="仿宋_GB2312" w:asciiTheme="minorEastAsia" w:hAnsiTheme="minorEastAsia" w:eastAsiaTheme="minorEastAsia"/>
          <w:sz w:val="24"/>
          <w:szCs w:val="24"/>
        </w:rPr>
        <w:t xml:space="preserve"> HG 20524-92</w:t>
      </w:r>
      <w:r>
        <w:rPr>
          <w:rFonts w:hint="eastAsia" w:cs="仿宋_GB2312" w:asciiTheme="minorEastAsia" w:hAnsiTheme="minorEastAsia" w:eastAsiaTheme="minorEastAsia"/>
          <w:sz w:val="24"/>
          <w:szCs w:val="24"/>
        </w:rPr>
        <w:t xml:space="preserve">         </w:t>
      </w:r>
    </w:p>
    <w:p w14:paraId="069B336B">
      <w:pPr>
        <w:pStyle w:val="6"/>
        <w:numPr>
          <w:ilvl w:val="0"/>
          <w:numId w:val="0"/>
        </w:numPr>
        <w:spacing w:line="360" w:lineRule="auto"/>
        <w:ind w:leftChars="0" w:firstLine="720" w:firstLineChars="3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化工企业循环冷却水处理设计技术规定</w:t>
      </w:r>
      <w:r>
        <w:rPr>
          <w:rFonts w:cs="仿宋_GB2312" w:asciiTheme="minorEastAsia" w:hAnsiTheme="minorEastAsia" w:eastAsiaTheme="minorEastAsia"/>
          <w:sz w:val="24"/>
          <w:szCs w:val="24"/>
        </w:rPr>
        <w:t xml:space="preserve"> HG/T 20690-2000</w:t>
      </w:r>
      <w:r>
        <w:rPr>
          <w:rFonts w:hint="eastAsia" w:cs="仿宋_GB2312" w:asciiTheme="minorEastAsia" w:hAnsiTheme="minorEastAsia" w:eastAsiaTheme="minorEastAsia"/>
          <w:sz w:val="24"/>
          <w:szCs w:val="24"/>
        </w:rPr>
        <w:t xml:space="preserve">             </w:t>
      </w:r>
    </w:p>
    <w:p w14:paraId="442118B5">
      <w:pPr>
        <w:pStyle w:val="6"/>
        <w:numPr>
          <w:ilvl w:val="0"/>
          <w:numId w:val="0"/>
        </w:numPr>
        <w:spacing w:line="360" w:lineRule="auto"/>
        <w:ind w:leftChars="0" w:firstLine="720" w:firstLineChars="3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循环冷却水系统不停车化学清洗和热态预膜工艺技术规程</w:t>
      </w:r>
    </w:p>
    <w:p w14:paraId="14B502A5">
      <w:pPr>
        <w:pStyle w:val="6"/>
        <w:numPr>
          <w:ilvl w:val="0"/>
          <w:numId w:val="0"/>
        </w:numPr>
        <w:spacing w:line="360" w:lineRule="auto"/>
        <w:ind w:leftChars="0" w:firstLine="720" w:firstLineChars="300"/>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GB21549-2008实验室玻璃仪器玻璃烧器的安全要求;</w:t>
      </w:r>
    </w:p>
    <w:p w14:paraId="436E4DB5">
      <w:pPr>
        <w:pStyle w:val="6"/>
        <w:numPr>
          <w:ilvl w:val="1"/>
          <w:numId w:val="1"/>
        </w:num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药品质量保证</w:t>
      </w:r>
    </w:p>
    <w:p w14:paraId="6B0F396E">
      <w:pPr>
        <w:pStyle w:val="7"/>
        <w:autoSpaceDE w:val="0"/>
        <w:autoSpaceDN w:val="0"/>
        <w:adjustRightInd w:val="0"/>
        <w:spacing w:line="360" w:lineRule="auto"/>
        <w:ind w:left="424" w:leftChars="202" w:firstLine="720" w:firstLineChars="3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投标方应建立健全技术、质量保证体系，完成内部的三级验收，并接受和配合招标方相关人员的监督、检查和验收工作。</w:t>
      </w:r>
    </w:p>
    <w:p w14:paraId="67BF4715">
      <w:pPr>
        <w:autoSpaceDE w:val="0"/>
        <w:autoSpaceDN w:val="0"/>
        <w:adjustRightInd w:val="0"/>
        <w:spacing w:line="360" w:lineRule="auto"/>
        <w:ind w:left="420" w:leftChars="200" w:firstLine="720" w:firstLineChars="300"/>
        <w:jc w:val="left"/>
        <w:rPr>
          <w:rFonts w:cs="宋体" w:asciiTheme="minorEastAsia" w:hAnsiTheme="minorEastAsia"/>
          <w:kern w:val="0"/>
          <w:sz w:val="24"/>
          <w:szCs w:val="24"/>
        </w:rPr>
      </w:pPr>
      <w:r>
        <w:rPr>
          <w:rFonts w:hint="eastAsia" w:cs="仿宋_GB2312" w:asciiTheme="minorEastAsia" w:hAnsiTheme="minorEastAsia"/>
          <w:kern w:val="0"/>
          <w:sz w:val="24"/>
          <w:szCs w:val="24"/>
        </w:rPr>
        <w:t>投标方应提供能证明产品生产质量的由权威部门测试的最新的全部测试、试验报告</w:t>
      </w:r>
      <w:r>
        <w:rPr>
          <w:rFonts w:hint="eastAsia" w:cs="宋体" w:asciiTheme="minorEastAsia" w:hAnsiTheme="minorEastAsia"/>
          <w:kern w:val="0"/>
          <w:sz w:val="24"/>
          <w:szCs w:val="24"/>
        </w:rPr>
        <w:t>。</w:t>
      </w:r>
    </w:p>
    <w:p w14:paraId="4F4A81A4">
      <w:pPr>
        <w:autoSpaceDE w:val="0"/>
        <w:autoSpaceDN w:val="0"/>
        <w:adjustRightInd w:val="0"/>
        <w:spacing w:line="360" w:lineRule="auto"/>
        <w:ind w:left="420" w:leftChars="200" w:firstLine="720" w:firstLineChars="30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在产品检验和验收过程中，如发现任何不符合本规范书要求的产品，投标方都必须及时更换，直至符合规定要求。</w:t>
      </w:r>
    </w:p>
    <w:p w14:paraId="248C0D30">
      <w:pPr>
        <w:autoSpaceDE w:val="0"/>
        <w:autoSpaceDN w:val="0"/>
        <w:adjustRightInd w:val="0"/>
        <w:spacing w:line="360" w:lineRule="auto"/>
        <w:ind w:left="420" w:leftChars="200" w:firstLine="720" w:firstLineChars="300"/>
        <w:jc w:val="left"/>
        <w:rPr>
          <w:rFonts w:cs="仿宋_GB2312" w:asciiTheme="minorEastAsia" w:hAnsiTheme="minorEastAsia"/>
          <w:color w:val="FF0000"/>
          <w:kern w:val="0"/>
          <w:sz w:val="24"/>
          <w:szCs w:val="24"/>
        </w:rPr>
      </w:pPr>
      <w:r>
        <w:rPr>
          <w:rFonts w:hint="eastAsia" w:cs="仿宋_GB2312" w:asciiTheme="minorEastAsia" w:hAnsiTheme="minorEastAsia"/>
          <w:kern w:val="0"/>
          <w:sz w:val="24"/>
          <w:szCs w:val="24"/>
        </w:rPr>
        <w:t>在合同期内，由药剂质量原因造成的损失由投标方负责。</w:t>
      </w:r>
    </w:p>
    <w:p w14:paraId="095D4F0D">
      <w:pPr>
        <w:autoSpaceDE w:val="0"/>
        <w:autoSpaceDN w:val="0"/>
        <w:adjustRightInd w:val="0"/>
        <w:spacing w:line="360" w:lineRule="auto"/>
        <w:ind w:left="561" w:leftChars="267" w:firstLine="600" w:firstLineChars="250"/>
        <w:jc w:val="left"/>
        <w:rPr>
          <w:rFonts w:cs="仿宋_GB2312" w:asciiTheme="minorEastAsia" w:hAnsiTheme="minorEastAsia"/>
          <w:kern w:val="0"/>
          <w:sz w:val="24"/>
          <w:szCs w:val="24"/>
        </w:rPr>
      </w:pPr>
      <w:r>
        <w:rPr>
          <w:rFonts w:hint="eastAsia" w:cs="仿宋_GB2312" w:asciiTheme="minorEastAsia" w:hAnsiTheme="minorEastAsia"/>
          <w:kern w:val="0"/>
          <w:sz w:val="24"/>
          <w:szCs w:val="24"/>
        </w:rPr>
        <w:t>招标方有权在合同执行期间内的任何时候，对投标方所提供的药剂进行质量检查。</w:t>
      </w:r>
    </w:p>
    <w:p w14:paraId="639B4352">
      <w:pPr>
        <w:pStyle w:val="6"/>
        <w:numPr>
          <w:ilvl w:val="1"/>
          <w:numId w:val="1"/>
        </w:numPr>
        <w:spacing w:line="360" w:lineRule="auto"/>
        <w:rPr>
          <w:rFonts w:asciiTheme="minorEastAsia" w:hAnsiTheme="minorEastAsia" w:eastAsiaTheme="minorEastAsia"/>
          <w:b/>
          <w:sz w:val="22"/>
          <w:szCs w:val="22"/>
        </w:rPr>
      </w:pPr>
      <w:r>
        <w:rPr>
          <w:rFonts w:hint="eastAsia" w:asciiTheme="minorEastAsia" w:hAnsiTheme="minorEastAsia" w:eastAsiaTheme="minorEastAsia"/>
          <w:b/>
          <w:sz w:val="22"/>
          <w:szCs w:val="22"/>
        </w:rPr>
        <w:t>运输、贮存</w:t>
      </w:r>
    </w:p>
    <w:p w14:paraId="16CF0CEC">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药品至少应包括两份详细清单和一份质量检验证明书、产品合格证，提供说明书。</w:t>
      </w:r>
    </w:p>
    <w:p w14:paraId="06C5EE2E">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药品的外包装上应清楚地标明出厂编号以及药品运输、贮存保管要求的国际通用标记。</w:t>
      </w:r>
    </w:p>
    <w:p w14:paraId="2E0C5E2B">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供货范围内的药剂运输、装卸及售后由投标方负责</w:t>
      </w:r>
    </w:p>
    <w:p w14:paraId="7963EB7D">
      <w:pPr>
        <w:pStyle w:val="2"/>
        <w:numPr>
          <w:ilvl w:val="0"/>
          <w:numId w:val="1"/>
        </w:numPr>
        <w:bidi w:val="0"/>
        <w:rPr>
          <w:b/>
          <w:bCs/>
        </w:rPr>
      </w:pPr>
      <w:r>
        <w:rPr>
          <w:rFonts w:hint="eastAsia" w:cs="仿宋_GB2312" w:asciiTheme="minorEastAsia" w:hAnsiTheme="minorEastAsia"/>
          <w:b/>
          <w:bCs/>
          <w:kern w:val="0"/>
          <w:sz w:val="24"/>
          <w:szCs w:val="24"/>
          <w:lang w:val="en-US" w:eastAsia="zh-CN"/>
        </w:rPr>
        <w:t>实验室仪器药剂范围</w:t>
      </w:r>
    </w:p>
    <w:tbl>
      <w:tblPr>
        <w:tblW w:w="457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98"/>
        <w:gridCol w:w="2178"/>
        <w:gridCol w:w="4168"/>
        <w:gridCol w:w="789"/>
        <w:gridCol w:w="789"/>
      </w:tblGrid>
      <w:tr w14:paraId="57BF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24F10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序号</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72568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物品名称</w:t>
            </w:r>
          </w:p>
        </w:tc>
        <w:tc>
          <w:tcPr>
            <w:tcW w:w="2426" w:type="pct"/>
            <w:tcBorders>
              <w:top w:val="single" w:color="000000" w:sz="4" w:space="0"/>
              <w:left w:val="single" w:color="000000" w:sz="4" w:space="0"/>
              <w:bottom w:val="single" w:color="000000" w:sz="4" w:space="0"/>
              <w:right w:val="single" w:color="000000" w:sz="4" w:space="0"/>
            </w:tcBorders>
            <w:shd w:val="clear"/>
            <w:vAlign w:val="center"/>
          </w:tcPr>
          <w:p w14:paraId="4414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 w:name="_GoBack"/>
            <w:bookmarkEnd w:id="1"/>
            <w:r>
              <w:rPr>
                <w:rFonts w:hint="eastAsia" w:ascii="宋体" w:hAnsi="宋体" w:eastAsia="宋体" w:cs="宋体"/>
                <w:i w:val="0"/>
                <w:iCs w:val="0"/>
                <w:color w:val="000000"/>
                <w:kern w:val="0"/>
                <w:sz w:val="24"/>
                <w:szCs w:val="24"/>
                <w:u w:val="none"/>
                <w:bdr w:val="none" w:color="auto" w:sz="0" w:space="0"/>
                <w:lang w:val="en-US" w:eastAsia="zh-CN" w:bidi="ar"/>
              </w:rPr>
              <w:t>型  号</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B0909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数  量</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4714E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单  位</w:t>
            </w:r>
          </w:p>
        </w:tc>
      </w:tr>
      <w:tr w14:paraId="6C3B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850F1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82A5837">
            <w:pPr>
              <w:keepNext w:val="0"/>
              <w:keepLines w:val="0"/>
              <w:widowControl/>
              <w:suppressLineNumbers w:val="0"/>
              <w:jc w:val="center"/>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电导率电级</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786B73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HK338；</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50D9F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66A44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1BCF8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0E5A7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9CFDC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亚硝酸盐试纸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DD59E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0-500mg/L 100条每盒；</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F4231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8BA51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0BDA0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6D7C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86CF56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总磷试剂组</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29656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50支/盒：：（哈希）0-100mg/L, 2767245-CN   ;；</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A3DBB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79CF9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40B1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FE1D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965FD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氨氮检测试剂</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C0075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订货号：2606945-CN，50次/套，高量程哈希</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12227E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746C6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套</w:t>
            </w:r>
          </w:p>
        </w:tc>
      </w:tr>
      <w:tr w14:paraId="43360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EC9D7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53B73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COD试剂套装</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82E77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LH-DE-500；</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07B46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E865B8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套</w:t>
            </w:r>
          </w:p>
        </w:tc>
      </w:tr>
      <w:tr w14:paraId="2A26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BE3E7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71402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聚四氟乙烯滴定管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ECC95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25ml  透明白色；</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5D9C5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14399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501DC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48A85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9C8C49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微量滴定管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6F190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38B59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1CCB1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BBC4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4C4C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946BA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氨-氯化铵缓冲溶液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DDA43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A43C89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1F2FD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9D1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B02F4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D4DF5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COD试剂3-150，哈希</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C6EF0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规格：3-150mg/L盒；</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12C28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9304E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0520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307C3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67719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丁晴手套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59DA1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C61B6B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DC9F1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1897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C4AE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01E5B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硝酸银标液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79716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0.1mol/L,500mL；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3E9C9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9D1929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29D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369F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FFD6F6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萃取液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F4CD1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 ml/瓶山东惠工电气 酸值测定HGSZ208</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EB639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026E3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2C0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DBB90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FB3B2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硝酸银标液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AE454E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0.01mol/L,AR级，500mL/瓶（科密欧）；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7D0BC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29681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777A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D5E7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F1FB6C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中和液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C6F2F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 ml/瓶山东惠工电气 酸值测定HGSZ208</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0059FA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CB9EB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2C8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9BF6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83AD7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油运动粘度测定仪用毛细管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07825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石油粘度测定仪用毛细管 0.8mm；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90C66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1B5C5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51E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1B77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C1981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油运动粘度测定仪用毛细管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E059A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石油粘度测定仪用毛细管 1.5mm；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4C9C1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3C725B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9F5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604E2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75383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滴定管架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5293691">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5AA03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E349F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AE1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F0798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0B51D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FC959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GR级，c(1/2H2SO4)=0.05mol/L 500ml/瓶（科密欧）；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2B0FB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468E7B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2D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3308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5C24A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C2368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GR级，c(1/2H2SO4)=1.0mol/L 500ml/瓶（科密欧）；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C3744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44C9B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D000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A308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76EB25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FAFB30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GR级，c(1/2H2SO4)=0.01mol/L 500ml/瓶（科密欧）；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674C53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8A1CD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24C2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F49E7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4A4075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FA67A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0.1（1/2）mol/L,500mL；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D2D59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358BC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4DC3B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BDB6A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66720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EDTA标液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97ED6F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0.01mol/l；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EE76A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B56CE2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1B228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7DAB6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D141D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冰乙酸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AD57B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500ml/瓶分析纯 AR</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659A17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CC78A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CC0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06E28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9EC9B1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EDTA标液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07771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0.05mol/l；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D4A82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6AA26C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7DE6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2AC36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C8A4E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硫代硫酸钠标液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A339B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169C2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3129C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BDE1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6668B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58645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EDTA标液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2BD9F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1EFA3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CE438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57E9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B8A5C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6C53D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碘标液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D638D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FED86D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B175A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FCE2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2D4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D3AD52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微水电解液卡尔费休试剂</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B00238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49FE5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39F6B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2F2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74A66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6D24DD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盐酸标准溶液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207A4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B8D6E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E8567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BDFF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8672A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346AB8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盐酸标准溶液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8C0CE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1.0mol/L，500ml/瓶；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988B4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A7111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4612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05416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B06B7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盐酸标准溶液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FEA97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  0.05mol/L；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F86B0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2BF67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73F9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111CC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120807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石油醚</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57AF5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8528A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6CAAD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0FBD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3EA91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CD98F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液体取样器</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D8BCB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BD0BB6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807CE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4BF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12DD1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4D3ABD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盐酸标准溶液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5AA6C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0.1mol/L，500ml/瓶；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FF2FDC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2575BE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660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C520C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32855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氨水</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F9D5F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GR级，500ml/瓶 （科密欧）；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EBFB3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A8A10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2C0F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9A1A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275970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取样袋</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0A8539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200mm*300mm；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66BDC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833AD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CFB5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EFA6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D66F9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w:t>
            </w:r>
            <w:r>
              <w:rPr>
                <w:rStyle w:val="9"/>
                <w:bdr w:val="none" w:color="auto" w:sz="0" w:space="0"/>
                <w:lang w:val="en-US" w:eastAsia="zh-CN" w:bidi="ar"/>
              </w:rPr>
              <w:t>电极</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8125D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E201F型PH复合电极；</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6DEF9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3E259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3A97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4B97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3FEDF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聚四氟乙烯滴定管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6AD93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25ml  透明棕色；</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6D464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75E21A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0CC17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E6BF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1116C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磷酸氢二钠</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90FAE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AR500g；</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A864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375AA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4519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74BFD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E436F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电导率电极</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26578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DJS-0.1-BNC；</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15489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022BE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6205B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4EB0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C67F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白色干燥器</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851F64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直径40cm；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5E3FEE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75930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B52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6D0D2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2AD0F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实验室电炉</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67639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2000W</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998A2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765BA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C20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7C8F5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0FB218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不锈钢取样器</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81221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4米</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D534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95BAB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065E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DBB7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AC823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浓氨水</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6F97B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2.5L/瓶：AR级；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2D5017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7A781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4B1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A80BC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70D26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大肚吸管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7B28B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31FDEC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8A475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1144E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43D2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A83369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磁力搅拌器</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1D74F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SH-3S；</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F59E72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F92A9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C6F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3CA6F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20D4AF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EDTA标液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72F62C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0.001mol/L：500ml每瓶，科密欧；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0996B8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2FDDC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DFA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A3A8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48501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玻璃烧杯</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28B17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A76CE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B38F4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7810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64CE9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D6AAA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玻璃量筒</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5B5E9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6BA6D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FC9927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5542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682CE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D1EF35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大肚吸管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99FD3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416B62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61085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4B0E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CC98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348CE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容量瓶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F0D3A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BB983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DDEAB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9B3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0E757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02FF7E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橡胶手套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989F9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大号，长款</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409C9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50405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副</w:t>
            </w:r>
          </w:p>
        </w:tc>
      </w:tr>
      <w:tr w14:paraId="2784E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87CE8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EE393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定性滤纸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CF23F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中速 11cm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126BEC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EEB70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47F2D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8722B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F36C5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玻璃量筒</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86D71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ADEE08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DEC7A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59EC9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1B46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2D847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硫酸亚铁铵</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41BA9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500g/瓶分析纯 AR</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1FEC1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8087B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424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66D5A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B437E3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二异丙胺</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9F983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500ml/瓶分析纯 AR</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96E21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D89DD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74EB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7FC6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F93732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定量滤纸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1DA2E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中速 11cm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0E7BE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F8123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4FFFE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3054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9115F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容量瓶（白）</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997DAC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C3C3E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3D4CE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7C28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7A384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9B35B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加厚塑料桶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A163F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13L；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65279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FE73A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AD0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4E726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AC220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定量滤纸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15A4F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快速 11cm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B5B1F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840EAF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4DD8F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D0C18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0CF34D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氯化亚锡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40706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500g/瓶分析纯 AR</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5C930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9B95D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4027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CF949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F6EC5D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定性滤纸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EC539C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快速 11cm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BB27C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6458E0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28C50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F941F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B5185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一次性活性炭口罩</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B46D3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50/盒；</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2244F0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AB3B1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6835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1EAB0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EC7D5A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钼酸铵</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CB2D5D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AR500g，科密欧；钼酸铵：AR500g，科密欧瓶；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F8426F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4977EE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FC8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A816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5ED377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玻璃烧杯</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769D1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DDAF25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D8D47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245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C28D2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63B771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量筒</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7DAA7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DD3C0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86AC74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5B0A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EF463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585A3D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偏钒酸铵</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65F4B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FFDF8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035EC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4D3C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88F4F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4EFB2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草酸AR级</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6D197C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AR级，500g/瓶：AR级，500g/瓶瓶；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48614E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90BE7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991F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450D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41CFD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热敏纸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CCFC28E">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E188E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79668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卷</w:t>
            </w:r>
          </w:p>
        </w:tc>
      </w:tr>
      <w:tr w14:paraId="540F4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F6DA0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CF8EF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无水乙醇</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7028C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9460DC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96480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111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FF23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D3D47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塑料大口瓶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0AE4C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66800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A3F344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2BB0A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8B14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BCD3D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塑料烧杯</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91158F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A26B0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F1718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299E4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9A535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9A79A6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玻璃烧杯</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98EB1A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FA916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B01434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0E8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6ABCA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9CE19A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带螺纹箍塑料瓶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1A4B0EA">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C1B84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07B72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FC1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05E3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63536E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量筒</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4DF65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576FF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BA485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5047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5F2E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EE9EB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甲基橙</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ECEE71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482EB4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7C337F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421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C6B54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DD7D3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200目标准筛</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63DE7D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GB1345 FSY-150水泥标准负压筛；</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7CB411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037E15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只</w:t>
            </w:r>
          </w:p>
        </w:tc>
      </w:tr>
      <w:tr w14:paraId="02159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BA74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9E5DA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容量瓶（白）</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50FB2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0FCED1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BC7C43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C9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65C9D1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C7A0F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氢氧化钠标液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3E3DA9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1mol/L：500ml/瓶；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577555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AEBC3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7BA6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54E0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C11F9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氢氧化钠标液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81CEA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0.5mol/L：500ml/瓶；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BB154B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798C5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731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B9BD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D17468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钙羧酸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6A033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98B4A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9DAA40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7A7E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CCA2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061901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氢氧化钠标液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905A1F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2mol/L,500mL；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1CC087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A107B1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B4D7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31F0A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CA16C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带盖水桶（有提手）</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FE527C8">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9BB078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6D9280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97A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0725F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7DD14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刻度移液管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A8F91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A2741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DD86D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1341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707EF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191B94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瓷灰皿</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48907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底长45mm+底宽22mm+高45mm；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1EB90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681566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F3F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6D588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B7D95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瓷坩埚</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69ADEA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0B4D64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57A02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356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2B7BD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DB7F2A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瓷坩埚</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E3051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3B248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24F59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BD0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143EA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3B5C3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玻璃漏斗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BACD7C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玻璃漏斗：100mm个；</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4BA616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45A5B2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2E2C1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765C4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DF06E9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玻璃烧杯</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ED7E8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EB1E95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55BF4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C20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18E20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01B3B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刻度移液管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6C8B06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A721F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84A35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4493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28E5D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14544D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刻度移液管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207970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E8E3F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4322BA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2ml</w:t>
            </w:r>
          </w:p>
        </w:tc>
      </w:tr>
      <w:tr w14:paraId="5046D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DA12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D5B214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刻度移液管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312D97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798AD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7D3560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7C3C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834DC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303AD2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圆形移液管架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DB2196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有机玻璃；</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874617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9FA844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55C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C4FA4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54579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刻度移液管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37AF32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A9BEF3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576EDF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AB3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D4A1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17517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蔗糖</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EFFC06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FC24D1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50010E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B83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C8F65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B14914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负压分析筛</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75E92A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325目，0.0045mm；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B9E966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B10DE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2F85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91FE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DEA245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容量瓶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E2B142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  玻璃；</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265CEA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F2B1D7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418B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34AEE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677692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棕色滴瓶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11ECB8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125ml；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13CFD4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FEF73F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DB6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C550F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B3C0D8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可溶性淀粉</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121BFB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500g/瓶分析纯 AR</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7162B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9A94A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40D5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479D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DD4388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蛇形回流冷凝管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4EBF9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300cm   24*2；</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007670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FB80E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7E4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2ACA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4C0E3D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磨口三角瓶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1032D1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2824A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818DA1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471F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EAE91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486C62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铬黑T</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7C66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0A911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85C97C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F625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E475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63A2F9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容量瓶（白）</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F5CC98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FCE4E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BDB16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5CC18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808B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FD6800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玻璃漏斗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46718A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玻璃漏斗：50mm个；</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82D1C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BAC55B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1657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D2FA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CBEB42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玻璃三角瓶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63EF3A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EC288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039BBD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2487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909F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234973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铬酸钾</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08C533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500g/瓶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B535D5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96C164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27E17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EB7B4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14F403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广泛PH试纸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4B8F3F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PH1-14</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70CEA0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F91B7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包</w:t>
            </w:r>
          </w:p>
        </w:tc>
      </w:tr>
      <w:tr w14:paraId="47831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E1637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725147F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磨口三角瓶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1A8895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8BD80B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071D357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1C3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E311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3D22E5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三角漏斗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2584A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75mm；</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F5406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582A31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EF69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69504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4DFE70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三角玻璃漏斗</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D2BC73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长管 75mm ；</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428C7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0BD545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套</w:t>
            </w:r>
          </w:p>
        </w:tc>
      </w:tr>
      <w:tr w14:paraId="5458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777DA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E0ED5A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实验室洗瓶</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45073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F5D3DF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660DD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4E803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82573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67BF0E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硼砂</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B7998A5">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500g/瓶：AR级；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F5692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AA3C80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105C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46220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69E7CD9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亚甲基蓝</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AEAACB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4B262D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60FE611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08ABA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F785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05F76E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酸性铬蓝K</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6BA0AA7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AR；25g/瓶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508AD6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FD9178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54DB7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7952C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098C35B">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甲基红-亚甲基蓝混合指示液</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6EC0A6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100ml/瓶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91EDED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29FA1A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1151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50F23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300B89F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盐酸羟氨</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3F7D59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分析纯 25g/瓶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36E4294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05318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4F6A4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2BD2F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117</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08A6C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玻璃胶头滴管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EFE744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1mL，带刻度；玻璃胶头滴管：1mL，带刻度支；</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FF30F3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8162A2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0BBA6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C73C2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118</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655E6B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量筒刷</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5FAF5B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型号：500ml；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E00A2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033D77D">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28FA7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92AFA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119</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1FCA1D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量筒刷</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5EBDA1E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型号：1000ml；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0F7BC07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8B956E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629A4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260BDB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120</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5867E71">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胶头滴管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61BB061">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41E60443">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54BA9E3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0C1E9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660BF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121</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F270738">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酚酞</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010425E">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6ED0BA7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1571EED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38B3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1BD12A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122</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50A2335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中性石蕊试纸</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4E368C59">
            <w:pPr>
              <w:jc w:val="center"/>
              <w:rPr>
                <w:rFonts w:hint="default" w:ascii="Arial" w:hAnsi="Arial" w:eastAsia="宋体" w:cs="Arial"/>
                <w:i w:val="0"/>
                <w:iCs w:val="0"/>
                <w:color w:val="000000"/>
                <w:sz w:val="20"/>
                <w:szCs w:val="20"/>
                <w:u w:val="none"/>
              </w:rPr>
            </w:pP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59C952F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5</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3B9D23A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盒</w:t>
            </w:r>
          </w:p>
        </w:tc>
      </w:tr>
      <w:tr w14:paraId="490D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3B95E2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123</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41494A3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玻璃胶头滴管</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28F5FEF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2mL，带刻度；玻璃胶头滴管：2mL，带刻度支；</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B0B493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260D9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支</w:t>
            </w:r>
          </w:p>
        </w:tc>
      </w:tr>
      <w:tr w14:paraId="7E2F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42AF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124</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0F86090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量筒刷</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1D4301E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型号：100ml；</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20EEA01F">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10</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F3EC4D0">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个</w:t>
            </w:r>
          </w:p>
        </w:tc>
      </w:tr>
      <w:tr w14:paraId="3B11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015D3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125</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235F8B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甲基红</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7BD1ED6C">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25g/瓶：AR级；</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1C762BC2">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4372E497">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r w14:paraId="68B3C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359" w:type="pct"/>
            <w:tcBorders>
              <w:top w:val="single" w:color="000000" w:sz="4" w:space="0"/>
              <w:left w:val="single" w:color="000000" w:sz="4" w:space="0"/>
              <w:bottom w:val="single" w:color="000000" w:sz="4" w:space="0"/>
              <w:right w:val="single" w:color="000000" w:sz="4" w:space="0"/>
            </w:tcBorders>
            <w:shd w:val="clear"/>
            <w:noWrap/>
            <w:vAlign w:val="center"/>
          </w:tcPr>
          <w:p w14:paraId="4D4BD0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126</w:t>
            </w:r>
          </w:p>
        </w:tc>
        <w:tc>
          <w:tcPr>
            <w:tcW w:w="1274" w:type="pct"/>
            <w:tcBorders>
              <w:top w:val="single" w:color="000000" w:sz="4" w:space="0"/>
              <w:left w:val="single" w:color="000000" w:sz="4" w:space="0"/>
              <w:bottom w:val="single" w:color="000000" w:sz="4" w:space="0"/>
              <w:right w:val="single" w:color="000000" w:sz="4" w:space="0"/>
            </w:tcBorders>
            <w:shd w:val="clear"/>
            <w:noWrap/>
            <w:vAlign w:val="center"/>
          </w:tcPr>
          <w:p w14:paraId="16ADFF54">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氢氧化钠</w:t>
            </w:r>
          </w:p>
        </w:tc>
        <w:tc>
          <w:tcPr>
            <w:tcW w:w="2426" w:type="pct"/>
            <w:tcBorders>
              <w:top w:val="single" w:color="000000" w:sz="4" w:space="0"/>
              <w:left w:val="single" w:color="000000" w:sz="4" w:space="0"/>
              <w:bottom w:val="single" w:color="000000" w:sz="4" w:space="0"/>
              <w:right w:val="single" w:color="000000" w:sz="4" w:space="0"/>
            </w:tcBorders>
            <w:shd w:val="clear"/>
            <w:noWrap/>
            <w:vAlign w:val="center"/>
          </w:tcPr>
          <w:p w14:paraId="0A9C30C6">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AR分析纯  500g/瓶；</w:t>
            </w:r>
          </w:p>
        </w:tc>
        <w:tc>
          <w:tcPr>
            <w:tcW w:w="469" w:type="pct"/>
            <w:tcBorders>
              <w:top w:val="single" w:color="000000" w:sz="4" w:space="0"/>
              <w:left w:val="single" w:color="000000" w:sz="4" w:space="0"/>
              <w:bottom w:val="single" w:color="000000" w:sz="4" w:space="0"/>
              <w:right w:val="single" w:color="000000" w:sz="4" w:space="0"/>
            </w:tcBorders>
            <w:shd w:val="clear"/>
            <w:noWrap/>
            <w:vAlign w:val="center"/>
          </w:tcPr>
          <w:p w14:paraId="7346F7C9">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2</w:t>
            </w:r>
          </w:p>
        </w:tc>
        <w:tc>
          <w:tcPr>
            <w:tcW w:w="470" w:type="pct"/>
            <w:tcBorders>
              <w:top w:val="single" w:color="000000" w:sz="4" w:space="0"/>
              <w:left w:val="single" w:color="000000" w:sz="4" w:space="0"/>
              <w:bottom w:val="single" w:color="000000" w:sz="4" w:space="0"/>
              <w:right w:val="single" w:color="000000" w:sz="4" w:space="0"/>
            </w:tcBorders>
            <w:shd w:val="clear"/>
            <w:noWrap/>
            <w:vAlign w:val="center"/>
          </w:tcPr>
          <w:p w14:paraId="74C56BBA">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bdr w:val="none" w:color="auto" w:sz="0" w:space="0"/>
                <w:lang w:val="en-US" w:eastAsia="zh-CN" w:bidi="ar"/>
              </w:rPr>
              <w:t>瓶</w:t>
            </w:r>
          </w:p>
        </w:tc>
      </w:tr>
    </w:tbl>
    <w:p w14:paraId="0288E168"/>
    <w:p w14:paraId="68F06E02">
      <w:pPr>
        <w:pStyle w:val="6"/>
        <w:numPr>
          <w:ilvl w:val="2"/>
          <w:numId w:val="1"/>
        </w:numPr>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严格按照技术规格要求供货，国产知名品牌，满足现场试验要求，标液应出具合格证明材料</w:t>
      </w:r>
    </w:p>
    <w:p w14:paraId="533E1160">
      <w:pPr>
        <w:pStyle w:val="2"/>
        <w:numPr>
          <w:ilvl w:val="0"/>
          <w:numId w:val="1"/>
        </w:numPr>
        <w:bidi w:val="0"/>
        <w:rPr>
          <w:b/>
          <w:bCs/>
        </w:rPr>
      </w:pPr>
      <w:r>
        <w:rPr>
          <w:rFonts w:hint="eastAsia"/>
          <w:b/>
          <w:bCs/>
        </w:rPr>
        <w:t>技术资料及交付进度附件</w:t>
      </w:r>
    </w:p>
    <w:p w14:paraId="43E6A828">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一般要求</w:t>
      </w:r>
    </w:p>
    <w:p w14:paraId="380B6F33">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投标方提供的资料应使用国家法定单位制即国际单位制，语言为中文，进口部件的外文图纸及文件应由投标方翻译成中文（免费）。</w:t>
      </w:r>
    </w:p>
    <w:p w14:paraId="465BC554">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术文件所用的单位应为国际通用的</w:t>
      </w:r>
      <w:r>
        <w:rPr>
          <w:rFonts w:asciiTheme="minorEastAsia" w:hAnsiTheme="minorEastAsia" w:eastAsiaTheme="minorEastAsia"/>
          <w:sz w:val="24"/>
          <w:szCs w:val="24"/>
        </w:rPr>
        <w:t>SI</w:t>
      </w:r>
      <w:r>
        <w:rPr>
          <w:rFonts w:hint="eastAsia" w:asciiTheme="minorEastAsia" w:hAnsiTheme="minorEastAsia" w:eastAsiaTheme="minorEastAsia"/>
          <w:sz w:val="24"/>
          <w:szCs w:val="24"/>
        </w:rPr>
        <w:t>公制单位。</w:t>
      </w:r>
    </w:p>
    <w:p w14:paraId="3A9047A9">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资料的提交及时、充分。</w:t>
      </w:r>
    </w:p>
    <w:p w14:paraId="4ABB16F0">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其它没有列入合同技术资料清单，却是试验所必需文件和资料，一经发现，投标方应及时免费提供。</w:t>
      </w:r>
    </w:p>
    <w:p w14:paraId="776C2791">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技术文件资料</w:t>
      </w:r>
    </w:p>
    <w:p w14:paraId="211051B9">
      <w:pPr>
        <w:pStyle w:val="6"/>
        <w:numPr>
          <w:ilvl w:val="2"/>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产品(包括外购件)合格证书。 </w:t>
      </w:r>
    </w:p>
    <w:p w14:paraId="0D063D32">
      <w:pPr>
        <w:pStyle w:val="2"/>
        <w:numPr>
          <w:ilvl w:val="0"/>
          <w:numId w:val="1"/>
        </w:numPr>
        <w:bidi w:val="0"/>
        <w:rPr>
          <w:b/>
          <w:bCs/>
        </w:rPr>
      </w:pPr>
      <w:r>
        <w:rPr>
          <w:rFonts w:hint="eastAsia"/>
          <w:b/>
          <w:bCs/>
        </w:rPr>
        <w:t>试剂验收</w:t>
      </w:r>
    </w:p>
    <w:p w14:paraId="0DEE03F1">
      <w:pPr>
        <w:pStyle w:val="6"/>
        <w:numPr>
          <w:ilvl w:val="1"/>
          <w:numId w:val="1"/>
        </w:num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验收应在招标方和中标人双方共同参加下进行。双方共同在现场按本合同约定的质量标准对中标方的水质稳定处理成果进行验收。除每月例行验收外，甲方有权对乙方水质稳定处理成果进行抽查性的随时验收</w:t>
      </w:r>
    </w:p>
    <w:p w14:paraId="4FF3EC96">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验收按国家有关的规定、规范进行。</w:t>
      </w:r>
    </w:p>
    <w:p w14:paraId="6C0F5B1B">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验收时如发现所交付的设备有短装、次品、损坏或其它不符合招标文件规定之情形者，采购人应做出详尽的现场记录，或由招标方和中标人双方签署备忘录。此现场记录或备忘录可用作补充、缺失和更换破损的有效证据。由此产生的有关费用由中标人承担。</w:t>
      </w:r>
    </w:p>
    <w:p w14:paraId="5FC25345">
      <w:pPr>
        <w:pStyle w:val="2"/>
        <w:numPr>
          <w:ilvl w:val="0"/>
          <w:numId w:val="1"/>
        </w:numPr>
        <w:bidi w:val="0"/>
        <w:rPr>
          <w:b/>
          <w:bCs/>
        </w:rPr>
      </w:pPr>
      <w:r>
        <w:rPr>
          <w:rFonts w:hint="eastAsia"/>
          <w:b/>
          <w:bCs/>
        </w:rPr>
        <w:t>质量保证及售后服务</w:t>
      </w:r>
    </w:p>
    <w:p w14:paraId="264330E0">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所提供货物质量必须符合国家相关标准，必须满足本次采购的要求，若所供货物经检验检测不合格，造成的损失和后果由该供应商负全责。</w:t>
      </w:r>
    </w:p>
    <w:p w14:paraId="5019E4B0">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服务响应时间：保证1小时以内响应，12小时以内到达现场，24小时以内解决问题。</w:t>
      </w:r>
    </w:p>
    <w:p w14:paraId="2983E897">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中标方负责以上货物的</w:t>
      </w:r>
      <w:r>
        <w:rPr>
          <w:sz w:val="24"/>
          <w:szCs w:val="24"/>
        </w:rPr>
        <w:fldChar w:fldCharType="begin"/>
      </w:r>
      <w:r>
        <w:rPr>
          <w:sz w:val="24"/>
          <w:szCs w:val="24"/>
        </w:rPr>
        <w:instrText xml:space="preserve"> HYPERLINK "http://www.bidcenter.com.cn/news-10677998-1.html" \t "_blank" \o "运输-2012年度沈阳百事可乐饮料有限公司物流指定供应商资格招标公告-中国采招网" </w:instrText>
      </w:r>
      <w:r>
        <w:rPr>
          <w:sz w:val="24"/>
          <w:szCs w:val="24"/>
        </w:rPr>
        <w:fldChar w:fldCharType="separate"/>
      </w:r>
      <w:r>
        <w:rPr>
          <w:rFonts w:hint="eastAsia" w:asciiTheme="minorEastAsia" w:hAnsiTheme="minorEastAsia" w:eastAsiaTheme="minorEastAsia"/>
          <w:sz w:val="24"/>
          <w:szCs w:val="24"/>
        </w:rPr>
        <w:t>运输</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等。</w:t>
      </w:r>
    </w:p>
    <w:p w14:paraId="40216B78">
      <w:pPr>
        <w:pStyle w:val="6"/>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采购货物的交货地点：采购单位指定地点</w:t>
      </w:r>
    </w:p>
    <w:p w14:paraId="1D296F22">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F5018"/>
    <w:multiLevelType w:val="multilevel"/>
    <w:tmpl w:val="3FBF5018"/>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NWJjOTJjNjQxZDE4MTUyY2IyMjVkZGUwYTNmYTkifQ=="/>
  </w:docVars>
  <w:rsids>
    <w:rsidRoot w:val="3C983F5A"/>
    <w:rsid w:val="055E1A39"/>
    <w:rsid w:val="3C983F5A"/>
    <w:rsid w:val="63185D8B"/>
    <w:rsid w:val="73895E73"/>
    <w:rsid w:val="7AA3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qFormat/>
    <w:uiPriority w:val="0"/>
    <w:pPr>
      <w:keepNext/>
      <w:tabs>
        <w:tab w:val="left" w:pos="600"/>
      </w:tabs>
      <w:adjustRightInd w:val="0"/>
      <w:spacing w:line="360" w:lineRule="auto"/>
      <w:jc w:val="center"/>
      <w:textAlignment w:val="baseline"/>
      <w:outlineLvl w:val="1"/>
    </w:pPr>
    <w:rPr>
      <w:rFonts w:ascii="宋体"/>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7">
    <w:name w:val="List Paragraph"/>
    <w:basedOn w:val="1"/>
    <w:qFormat/>
    <w:uiPriority w:val="34"/>
    <w:pPr>
      <w:widowControl/>
      <w:spacing w:after="200" w:line="276" w:lineRule="auto"/>
      <w:ind w:left="720"/>
      <w:contextualSpacing/>
      <w:jc w:val="left"/>
    </w:pPr>
    <w:rPr>
      <w:rFonts w:ascii="Calibri" w:hAnsi="Calibri"/>
      <w:kern w:val="0"/>
      <w:sz w:val="22"/>
      <w:szCs w:val="22"/>
      <w:lang w:eastAsia="en-US" w:bidi="en-US"/>
    </w:rPr>
  </w:style>
  <w:style w:type="paragraph" w:customStyle="1" w:styleId="8">
    <w:name w:val="一级条标题"/>
    <w:next w:val="1"/>
    <w:qFormat/>
    <w:uiPriority w:val="0"/>
    <w:pPr>
      <w:ind w:left="709" w:hanging="709"/>
      <w:outlineLvl w:val="2"/>
    </w:pPr>
    <w:rPr>
      <w:rFonts w:ascii="Times New Roman" w:hAnsi="Times New Roman" w:eastAsia="黑体" w:cs="Times New Roman"/>
      <w:kern w:val="0"/>
      <w:sz w:val="21"/>
      <w:szCs w:val="20"/>
      <w:lang w:val="en-US" w:eastAsia="zh-CN" w:bidi="ar-SA"/>
    </w:rPr>
  </w:style>
  <w:style w:type="character" w:customStyle="1" w:styleId="9">
    <w:name w:val="font2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3540</Words>
  <Characters>4610</Characters>
  <Lines>0</Lines>
  <Paragraphs>0</Paragraphs>
  <TotalTime>7</TotalTime>
  <ScaleCrop>false</ScaleCrop>
  <LinksUpToDate>false</LinksUpToDate>
  <CharactersWithSpaces>4752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2023-11-17T01:49:00Z</dcterms:created>
  <dc:creator>森上淼淼</dc:creator>
  <cp:lastModifiedBy>森上淼淼</cp:lastModifiedBy>
  <dcterms:modified xsi:type="dcterms:W3CDTF">2024-11-27T04:29:09Z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43944164F63D470692CCF411F6DF0829_13</vt:lpwstr>
  </property>
</Properties>
</file>