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96AC">
      <w:pPr>
        <w:ind w:firstLine="522" w:firstLineChars="10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360 环保值守服务技术规范书</w:t>
      </w:r>
    </w:p>
    <w:p w14:paraId="618EF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26F9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一、服务概述</w:t>
      </w:r>
    </w:p>
    <w:p w14:paraId="7333BD8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360 环保值守服务旨在为</w:t>
      </w:r>
      <w:r>
        <w:rPr>
          <w:rFonts w:hint="eastAsia"/>
          <w:sz w:val="32"/>
          <w:szCs w:val="32"/>
          <w:lang w:val="en-US" w:eastAsia="zh-CN"/>
        </w:rPr>
        <w:t>溆浦鹏程公司环保参数</w:t>
      </w:r>
      <w:r>
        <w:rPr>
          <w:rFonts w:hint="eastAsia"/>
          <w:sz w:val="32"/>
          <w:szCs w:val="32"/>
        </w:rPr>
        <w:t>提供全方位、全天候的监测、</w:t>
      </w:r>
      <w:r>
        <w:rPr>
          <w:rFonts w:hint="eastAsia"/>
          <w:sz w:val="32"/>
          <w:szCs w:val="32"/>
          <w:lang w:val="en-US" w:eastAsia="zh-CN"/>
        </w:rPr>
        <w:t>预警服务</w:t>
      </w:r>
      <w:r>
        <w:rPr>
          <w:rFonts w:hint="eastAsia"/>
          <w:sz w:val="32"/>
          <w:szCs w:val="32"/>
        </w:rPr>
        <w:t>，确保环境指标符合相关法规标准，有效预防和应对环保突发事件，保障</w:t>
      </w:r>
      <w:r>
        <w:rPr>
          <w:rFonts w:hint="eastAsia"/>
          <w:sz w:val="32"/>
          <w:szCs w:val="32"/>
          <w:lang w:val="en-US" w:eastAsia="zh-CN"/>
        </w:rPr>
        <w:t>烟气指标达标排放</w:t>
      </w:r>
      <w:r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  <w:lang w:val="en-US" w:eastAsia="zh-CN"/>
        </w:rPr>
        <w:t>防止指标超标事件</w:t>
      </w:r>
      <w:r>
        <w:rPr>
          <w:rFonts w:hint="eastAsia"/>
          <w:sz w:val="32"/>
          <w:szCs w:val="32"/>
        </w:rPr>
        <w:t>。</w:t>
      </w:r>
    </w:p>
    <w:p w14:paraId="465B210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二、服务范围</w:t>
      </w:r>
    </w:p>
    <w:p w14:paraId="3290F1A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1、</w:t>
      </w:r>
      <w:r>
        <w:rPr>
          <w:rFonts w:hint="eastAsia" w:ascii="宋体" w:hAnsi="宋体" w:eastAsia="宋体" w:cs="宋体"/>
          <w:sz w:val="32"/>
          <w:szCs w:val="32"/>
        </w:rPr>
        <w:t>对于企业提供7*24小时的远程专家技术咨询服务，主要包含：自动监控相关环保政策解读、环保工作咨询解答。</w:t>
      </w:r>
    </w:p>
    <w:p w14:paraId="14E2D87D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企业数据超标、恒值、炉温低、零值等的判断及人工提醒服务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3A882FC6">
      <w:pPr>
        <w:widowControl/>
        <w:numPr>
          <w:numId w:val="0"/>
        </w:numPr>
        <w:tabs>
          <w:tab w:val="left" w:pos="0"/>
        </w:tabs>
        <w:spacing w:before="0" w:line="240" w:lineRule="auto"/>
        <w:ind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企业端标记问题的人工远程提醒、检查、指导服务</w:t>
      </w:r>
    </w:p>
    <w:p w14:paraId="635CD7D9">
      <w:pPr>
        <w:widowControl/>
        <w:numPr>
          <w:numId w:val="0"/>
        </w:numPr>
        <w:tabs>
          <w:tab w:val="left" w:pos="0"/>
        </w:tabs>
        <w:spacing w:before="0" w:line="240" w:lineRule="auto"/>
        <w:ind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人工协助企业进行数据缺失的排查与处理</w:t>
      </w:r>
    </w:p>
    <w:p w14:paraId="468E4FEA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>对于企业日常提出的相关问题提供7*24小时人工服务</w:t>
      </w:r>
    </w:p>
    <w:p w14:paraId="55B2F729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sz w:val="32"/>
          <w:szCs w:val="32"/>
        </w:rPr>
        <w:t>对于企业服务及环保数据管理进行数据分析汇总</w:t>
      </w:r>
    </w:p>
    <w:p w14:paraId="1EE5272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三、</w:t>
      </w:r>
      <w:r>
        <w:rPr>
          <w:rFonts w:hint="eastAsia" w:ascii="宋体" w:hAnsi="宋体" w:eastAsia="宋体" w:cs="宋体"/>
          <w:sz w:val="32"/>
          <w:szCs w:val="32"/>
        </w:rPr>
        <w:t>数据使用与保密</w:t>
      </w:r>
    </w:p>
    <w:p w14:paraId="1E65A119">
      <w:pPr>
        <w:pStyle w:val="5"/>
        <w:numPr>
          <w:numId w:val="0"/>
        </w:numPr>
        <w:adjustRightInd w:val="0"/>
        <w:snapToGrid w:val="0"/>
        <w:spacing w:before="156" w:beforeLines="50" w:line="240" w:lineRule="auto"/>
        <w:ind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污染源自动监测数据的所有权属于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溆浦鹏程环保有限公司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溆浦鹏程环保有限公司</w:t>
      </w:r>
      <w:r>
        <w:rPr>
          <w:rFonts w:hint="eastAsia" w:ascii="宋体" w:hAnsi="宋体" w:eastAsia="宋体" w:cs="宋体"/>
          <w:sz w:val="32"/>
          <w:szCs w:val="32"/>
        </w:rPr>
        <w:t>授权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提供服务方</w:t>
      </w:r>
      <w:r>
        <w:rPr>
          <w:rFonts w:hint="eastAsia" w:ascii="宋体" w:hAnsi="宋体" w:eastAsia="宋体" w:cs="宋体"/>
          <w:sz w:val="32"/>
          <w:szCs w:val="32"/>
        </w:rPr>
        <w:t>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生态环境主管部门</w:t>
      </w:r>
      <w:r>
        <w:rPr>
          <w:rFonts w:hint="eastAsia" w:ascii="宋体" w:hAnsi="宋体" w:eastAsia="宋体" w:cs="宋体"/>
          <w:sz w:val="32"/>
          <w:szCs w:val="32"/>
        </w:rPr>
        <w:t>获取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溆浦鹏程环保有限公司</w:t>
      </w:r>
      <w:r>
        <w:rPr>
          <w:rFonts w:hint="eastAsia" w:ascii="宋体" w:hAnsi="宋体" w:eastAsia="宋体" w:cs="宋体"/>
          <w:sz w:val="32"/>
          <w:szCs w:val="32"/>
        </w:rPr>
        <w:t>的污染源自动监控数据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，提供服务方</w:t>
      </w:r>
      <w:r>
        <w:rPr>
          <w:rFonts w:hint="eastAsia" w:ascii="宋体" w:hAnsi="宋体" w:eastAsia="宋体" w:cs="宋体"/>
          <w:sz w:val="32"/>
          <w:szCs w:val="32"/>
        </w:rPr>
        <w:t>有权根据技术服务过程中的需要使用污染源自动监测数据。</w:t>
      </w:r>
    </w:p>
    <w:p w14:paraId="15EC0266">
      <w:pPr>
        <w:pStyle w:val="5"/>
        <w:numPr>
          <w:numId w:val="0"/>
        </w:numPr>
        <w:adjustRightInd w:val="0"/>
        <w:snapToGrid w:val="0"/>
        <w:spacing w:before="156" w:beforeLines="50" w:line="240" w:lineRule="auto"/>
        <w:ind w:left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提供服务方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对于技术服务工作中的数据进行严格保密</w:t>
      </w:r>
      <w:r>
        <w:rPr>
          <w:rFonts w:hint="eastAsia" w:ascii="宋体" w:hAnsi="宋体" w:eastAsia="宋体" w:cs="宋体"/>
          <w:sz w:val="32"/>
          <w:szCs w:val="32"/>
        </w:rPr>
        <w:t>，对于技术服务过程中使用的各类监控数据，不以任何形式交给除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溆浦鹏程环保有限公司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提供服务方</w:t>
      </w:r>
      <w:r>
        <w:rPr>
          <w:rFonts w:hint="eastAsia" w:ascii="宋体" w:hAnsi="宋体" w:eastAsia="宋体" w:cs="宋体"/>
          <w:sz w:val="32"/>
          <w:szCs w:val="32"/>
        </w:rPr>
        <w:t>外的第三方。</w:t>
      </w:r>
    </w:p>
    <w:p w14:paraId="40FC3023"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溆浦鹏程环保有限公司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提供服务方</w:t>
      </w:r>
      <w:r>
        <w:rPr>
          <w:rFonts w:hint="eastAsia" w:ascii="宋体" w:hAnsi="宋体" w:eastAsia="宋体" w:cs="宋体"/>
          <w:sz w:val="32"/>
          <w:szCs w:val="32"/>
        </w:rPr>
        <w:t>应按照国家法律法规要求，保障数据真实、准确，不对自动监测数据进行伪造、篡改等违规违法操作。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标准粗黑">
    <w:altName w:val="标准粗黑"/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6312B"/>
    <w:multiLevelType w:val="multilevel"/>
    <w:tmpl w:val="3346312B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635" w:hanging="425"/>
      </w:pPr>
      <w:rPr>
        <w:rFonts w:ascii="华文仿宋" w:hAnsi="华文仿宋" w:eastAsia="华文仿宋"/>
        <w:b/>
        <w:color w:val="000000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567" w:hanging="567"/>
      </w:pPr>
      <w:rPr>
        <w:rFonts w:ascii="华文仿宋" w:hAnsi="华文仿宋" w:eastAsia="华文仿宋"/>
        <w:b w:val="0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94C2B"/>
    <w:rsid w:val="546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="0" w:beforeLines="50"/>
      <w:outlineLvl w:val="0"/>
    </w:pPr>
    <w:rPr>
      <w:rFonts w:ascii="华文仿宋" w:eastAsia="华文仿宋" w:cs="宋体"/>
      <w:b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left="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2024-11-22T07:25:00Z</dcterms:created>
  <dc:creator>dai</dc:creator>
  <cp:lastModifiedBy>dai</cp:lastModifiedBy>
  <dcterms:modified xsi:type="dcterms:W3CDTF">2024-11-22T07:51:17Z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B0A816ABC79C42FF95E19F74176FD1A7_11</vt:lpwstr>
  </property>
</Properties>
</file>