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407E1">
      <w:pPr>
        <w:pStyle w:val="11"/>
        <w:spacing w:line="360" w:lineRule="auto"/>
        <w:jc w:val="center"/>
        <w:rPr>
          <w:rFonts w:hint="eastAsia" w:ascii="仿宋" w:hAnsi="仿宋" w:eastAsia="仿宋" w:cs="仿宋"/>
          <w:szCs w:val="21"/>
          <w:lang w:eastAsia="zh-CN"/>
        </w:rPr>
      </w:pPr>
      <w:bookmarkStart w:id="0" w:name="_Toc12856_WPSOffice_Level1"/>
      <w:bookmarkStart w:id="1" w:name="_Toc66698119"/>
      <w:bookmarkStart w:id="2" w:name="_Toc66859225"/>
      <w:bookmarkStart w:id="3" w:name="_Toc66638383"/>
      <w:bookmarkStart w:id="4" w:name="_Toc66697514"/>
      <w:bookmarkStart w:id="5" w:name="_Toc66695135"/>
    </w:p>
    <w:p w14:paraId="21E55FD1">
      <w:pPr>
        <w:spacing w:line="360" w:lineRule="auto"/>
        <w:jc w:val="center"/>
        <w:rPr>
          <w:rFonts w:hint="eastAsia" w:ascii="仿宋" w:hAnsi="仿宋" w:eastAsia="仿宋" w:cs="仿宋"/>
          <w:b/>
          <w:sz w:val="40"/>
          <w:szCs w:val="40"/>
          <w:shd w:val="clear" w:color="auto" w:fill="FFFFFF"/>
        </w:rPr>
      </w:pPr>
    </w:p>
    <w:p w14:paraId="32DEFA42">
      <w:pPr>
        <w:jc w:val="center"/>
        <w:rPr>
          <w:rFonts w:hint="eastAsia" w:ascii="宋体" w:hAnsi="宋体"/>
          <w:b/>
          <w:bCs/>
          <w:sz w:val="44"/>
          <w:szCs w:val="44"/>
        </w:rPr>
      </w:pPr>
    </w:p>
    <w:p w14:paraId="2EBB3987">
      <w:pPr>
        <w:jc w:val="center"/>
        <w:rPr>
          <w:rFonts w:hint="eastAsia" w:ascii="宋体" w:hAnsi="宋体"/>
          <w:b/>
          <w:bCs/>
          <w:sz w:val="44"/>
          <w:szCs w:val="44"/>
        </w:rPr>
      </w:pPr>
      <w:r>
        <w:rPr>
          <w:rFonts w:hint="eastAsia" w:ascii="宋体" w:hAnsi="宋体"/>
          <w:b/>
          <w:bCs/>
          <w:sz w:val="44"/>
          <w:szCs w:val="44"/>
          <w:lang w:eastAsia="zh-CN"/>
        </w:rPr>
        <w:t>济源霖林环保能源有限公司</w:t>
      </w:r>
    </w:p>
    <w:p w14:paraId="6F45F19B">
      <w:pPr>
        <w:pStyle w:val="2"/>
        <w:rPr>
          <w:rFonts w:hint="eastAsia"/>
        </w:rPr>
      </w:pPr>
    </w:p>
    <w:p w14:paraId="11B24569">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eastAsia="黑体"/>
          <w:sz w:val="44"/>
          <w:szCs w:val="44"/>
          <w:highlight w:val="none"/>
        </w:rPr>
      </w:pPr>
      <w:r>
        <w:rPr>
          <w:rFonts w:hint="eastAsia" w:ascii="宋体" w:hAnsi="宋体"/>
          <w:b/>
          <w:sz w:val="44"/>
          <w:szCs w:val="44"/>
          <w:lang w:val="en-US" w:eastAsia="zh-CN"/>
        </w:rPr>
        <w:t>渣吊维修平台及爬梯整改</w:t>
      </w:r>
      <w:r>
        <w:rPr>
          <w:rFonts w:hint="eastAsia" w:ascii="黑体" w:eastAsia="黑体"/>
          <w:sz w:val="44"/>
          <w:szCs w:val="44"/>
          <w:highlight w:val="none"/>
        </w:rPr>
        <w:t xml:space="preserve">   </w:t>
      </w:r>
    </w:p>
    <w:p w14:paraId="68F0A780">
      <w:pPr>
        <w:jc w:val="center"/>
        <w:rPr>
          <w:rFonts w:hint="eastAsia" w:ascii="宋体" w:hAnsi="宋体" w:cs="宋体"/>
          <w:b/>
          <w:spacing w:val="12"/>
          <w:sz w:val="44"/>
          <w:szCs w:val="44"/>
          <w:lang w:eastAsia="zh-CN"/>
        </w:rPr>
      </w:pPr>
    </w:p>
    <w:p w14:paraId="7C028DC7">
      <w:pPr>
        <w:jc w:val="center"/>
        <w:rPr>
          <w:rFonts w:hint="eastAsia" w:ascii="仿宋" w:hAnsi="仿宋" w:eastAsia="宋体" w:cs="仿宋"/>
          <w:b/>
          <w:bCs/>
          <w:sz w:val="48"/>
          <w:szCs w:val="48"/>
          <w:lang w:val="en-US" w:eastAsia="zh-CN"/>
        </w:rPr>
      </w:pPr>
      <w:r>
        <w:rPr>
          <w:rFonts w:hint="eastAsia" w:ascii="宋体" w:hAnsi="宋体" w:cs="宋体"/>
          <w:b/>
          <w:spacing w:val="12"/>
          <w:sz w:val="44"/>
          <w:szCs w:val="44"/>
          <w:lang w:eastAsia="zh-CN"/>
        </w:rPr>
        <w:t>技术规范</w:t>
      </w:r>
    </w:p>
    <w:p w14:paraId="159EC9FB">
      <w:pPr>
        <w:pStyle w:val="11"/>
        <w:spacing w:line="360" w:lineRule="auto"/>
        <w:jc w:val="center"/>
        <w:rPr>
          <w:rFonts w:hint="eastAsia" w:ascii="仿宋" w:hAnsi="仿宋" w:eastAsia="仿宋" w:cs="仿宋"/>
          <w:sz w:val="32"/>
          <w:lang w:eastAsia="zh-CN"/>
        </w:rPr>
      </w:pPr>
    </w:p>
    <w:p w14:paraId="499BBB85">
      <w:pPr>
        <w:pStyle w:val="11"/>
        <w:spacing w:line="360" w:lineRule="auto"/>
        <w:jc w:val="center"/>
        <w:rPr>
          <w:rFonts w:hint="eastAsia" w:ascii="仿宋" w:hAnsi="仿宋" w:eastAsia="仿宋" w:cs="仿宋"/>
          <w:sz w:val="32"/>
          <w:lang w:eastAsia="zh-CN"/>
        </w:rPr>
      </w:pPr>
    </w:p>
    <w:p w14:paraId="78707382">
      <w:pPr>
        <w:pStyle w:val="11"/>
        <w:spacing w:line="360" w:lineRule="auto"/>
        <w:jc w:val="center"/>
        <w:rPr>
          <w:rFonts w:hint="eastAsia" w:ascii="仿宋" w:hAnsi="仿宋" w:eastAsia="仿宋" w:cs="仿宋"/>
          <w:sz w:val="32"/>
          <w:lang w:eastAsia="zh-CN"/>
        </w:rPr>
      </w:pPr>
    </w:p>
    <w:p w14:paraId="49A6B6E1">
      <w:pPr>
        <w:pStyle w:val="11"/>
        <w:spacing w:line="360" w:lineRule="auto"/>
        <w:jc w:val="center"/>
        <w:rPr>
          <w:rFonts w:hint="eastAsia" w:ascii="仿宋" w:hAnsi="仿宋" w:eastAsia="仿宋" w:cs="仿宋"/>
          <w:sz w:val="32"/>
          <w:lang w:eastAsia="zh-CN"/>
        </w:rPr>
      </w:pPr>
    </w:p>
    <w:p w14:paraId="0CFF6791">
      <w:pPr>
        <w:pStyle w:val="11"/>
        <w:spacing w:line="360" w:lineRule="auto"/>
        <w:jc w:val="center"/>
        <w:rPr>
          <w:rFonts w:hint="eastAsia" w:ascii="仿宋" w:hAnsi="仿宋" w:eastAsia="仿宋" w:cs="仿宋"/>
          <w:sz w:val="32"/>
          <w:lang w:eastAsia="zh-CN"/>
        </w:rPr>
      </w:pPr>
    </w:p>
    <w:p w14:paraId="48F9FF29">
      <w:pPr>
        <w:pStyle w:val="11"/>
        <w:spacing w:line="360" w:lineRule="auto"/>
        <w:jc w:val="center"/>
        <w:rPr>
          <w:rFonts w:hint="eastAsia" w:ascii="仿宋" w:hAnsi="仿宋" w:eastAsia="仿宋" w:cs="仿宋"/>
          <w:sz w:val="32"/>
          <w:lang w:eastAsia="zh-CN"/>
        </w:rPr>
      </w:pPr>
    </w:p>
    <w:p w14:paraId="6AEE7B7C">
      <w:pPr>
        <w:pStyle w:val="11"/>
        <w:spacing w:line="360" w:lineRule="auto"/>
        <w:jc w:val="center"/>
        <w:rPr>
          <w:rFonts w:hint="eastAsia" w:ascii="仿宋" w:hAnsi="仿宋" w:eastAsia="仿宋" w:cs="仿宋"/>
          <w:sz w:val="32"/>
          <w:lang w:eastAsia="zh-CN"/>
        </w:rPr>
      </w:pPr>
    </w:p>
    <w:p w14:paraId="5FA1DBC5">
      <w:pPr>
        <w:spacing w:line="360" w:lineRule="auto"/>
        <w:rPr>
          <w:rFonts w:hint="eastAsia" w:ascii="仿宋" w:hAnsi="仿宋" w:eastAsia="仿宋" w:cs="仿宋"/>
          <w:b/>
          <w:szCs w:val="28"/>
        </w:rPr>
      </w:pPr>
    </w:p>
    <w:p w14:paraId="332BE483">
      <w:pPr>
        <w:spacing w:line="360" w:lineRule="auto"/>
        <w:ind w:firstLine="562"/>
        <w:rPr>
          <w:rFonts w:hint="eastAsia" w:ascii="仿宋" w:hAnsi="仿宋" w:eastAsia="仿宋" w:cs="仿宋"/>
          <w:b/>
          <w:szCs w:val="28"/>
        </w:rPr>
      </w:pPr>
    </w:p>
    <w:p w14:paraId="747189E9">
      <w:pPr>
        <w:pStyle w:val="11"/>
        <w:spacing w:line="360" w:lineRule="auto"/>
        <w:jc w:val="center"/>
        <w:rPr>
          <w:rFonts w:hint="eastAsia" w:ascii="仿宋" w:hAnsi="仿宋" w:eastAsia="仿宋" w:cs="仿宋"/>
          <w:sz w:val="32"/>
          <w:lang w:eastAsia="zh-CN"/>
        </w:rPr>
      </w:pPr>
    </w:p>
    <w:p w14:paraId="67310657">
      <w:pPr>
        <w:jc w:val="center"/>
        <w:rPr>
          <w:rFonts w:hint="eastAsia" w:ascii="宋体" w:hAnsi="宋体" w:cs="宋体"/>
          <w:b/>
          <w:spacing w:val="12"/>
          <w:sz w:val="44"/>
          <w:szCs w:val="44"/>
        </w:rPr>
      </w:pPr>
      <w:r>
        <w:rPr>
          <w:rFonts w:hint="eastAsia" w:ascii="宋体" w:hAnsi="宋体" w:cs="宋体"/>
          <w:b/>
          <w:spacing w:val="12"/>
          <w:sz w:val="44"/>
          <w:szCs w:val="44"/>
          <w:lang w:val="en-US" w:eastAsia="zh-CN"/>
        </w:rPr>
        <w:t>2024年10月</w:t>
      </w:r>
    </w:p>
    <w:p w14:paraId="1E99BADA">
      <w:pPr>
        <w:tabs>
          <w:tab w:val="left" w:pos="965"/>
        </w:tabs>
        <w:jc w:val="left"/>
        <w:rPr>
          <w:rFonts w:hint="eastAsia"/>
        </w:rPr>
        <w:sectPr>
          <w:headerReference r:id="rId3" w:type="first"/>
          <w:footerReference r:id="rId4" w:type="default"/>
          <w:footerReference r:id="rId5" w:type="even"/>
          <w:pgSz w:w="11906" w:h="16838"/>
          <w:pgMar w:top="1440" w:right="1418" w:bottom="1440" w:left="1418" w:header="851" w:footer="992" w:gutter="0"/>
          <w:pgNumType w:fmt="numberInDash" w:chapStyle="1"/>
          <w:cols w:space="720" w:num="1"/>
          <w:titlePg/>
          <w:docGrid w:type="linesAndChars" w:linePitch="312" w:charSpace="0"/>
        </w:sectPr>
      </w:pPr>
    </w:p>
    <w:bookmarkEnd w:id="0"/>
    <w:p w14:paraId="433F3920">
      <w:pPr>
        <w:pStyle w:val="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本工程所说明的技术标准和要求是以中国国家公布的所有现行规范及地方政府有关的现行规定。</w:t>
      </w:r>
    </w:p>
    <w:p w14:paraId="3C01C13A">
      <w:pPr>
        <w:pStyle w:val="9"/>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工程所说明的技术标准和要求亦包括施工说明、做法说明及要求等。承包人亦须按此等说明及要求执行，若此等说明及要求与国家规范及地方政府有关的现行规定之间有差异，承包人须按较高之标准执行。除本章节中表述的各项内容外，其它技术要求需要满足设计要求。该技术文件是招标文件的重要组成部分，并具有同样的效力，竞标人应有充分的重视和细致的理解。当与招标文件存在不一致的情况，发标人具有最终解释权。</w:t>
      </w:r>
    </w:p>
    <w:p w14:paraId="411A5B8A">
      <w:pPr>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一、工程概况</w:t>
      </w:r>
    </w:p>
    <w:p w14:paraId="7955946F">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outlineLvl w:val="9"/>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 xml:space="preserve">1.项目名称：渣吊维修平台及爬梯整改 </w:t>
      </w:r>
      <w:r>
        <w:rPr>
          <w:rFonts w:hint="eastAsia" w:ascii="宋体" w:hAnsi="宋体" w:eastAsia="宋体"/>
          <w:b/>
          <w:sz w:val="44"/>
          <w:szCs w:val="44"/>
          <w:lang w:val="en-US" w:eastAsia="zh-CN"/>
        </w:rPr>
        <w:t xml:space="preserve"> </w:t>
      </w:r>
      <w:r>
        <w:rPr>
          <w:rFonts w:hint="eastAsia" w:ascii="黑体" w:eastAsia="黑体"/>
          <w:sz w:val="44"/>
          <w:szCs w:val="44"/>
          <w:highlight w:val="none"/>
        </w:rPr>
        <w:t xml:space="preserve">   </w:t>
      </w:r>
    </w:p>
    <w:p w14:paraId="09FE7C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2.项目包含区域：渣池内渣吊爬梯及8m维修平台腐蚀更换及刷漆</w:t>
      </w:r>
    </w:p>
    <w:p w14:paraId="3556DE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3.项目地点：济源霖林环保能源有限公司</w:t>
      </w:r>
    </w:p>
    <w:p w14:paraId="0E26B04C">
      <w:pPr>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二、工程内容</w:t>
      </w:r>
    </w:p>
    <w:p w14:paraId="61F696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1.工期安排：合同签订后15天内。</w:t>
      </w:r>
    </w:p>
    <w:p w14:paraId="5402FF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2.施工范围：本次施工区域包含渣吊爬梯加固及维修平台旧钢板拆除、新钢板焊接。</w:t>
      </w:r>
    </w:p>
    <w:tbl>
      <w:tblPr>
        <w:tblStyle w:val="14"/>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3"/>
        <w:gridCol w:w="952"/>
        <w:gridCol w:w="1110"/>
        <w:gridCol w:w="1470"/>
        <w:gridCol w:w="1455"/>
        <w:gridCol w:w="2220"/>
      </w:tblGrid>
      <w:tr w14:paraId="3982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70A4F">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Style w:val="20"/>
                <w:rFonts w:hint="eastAsia" w:ascii="仿宋" w:hAnsi="仿宋" w:eastAsia="仿宋" w:cs="仿宋"/>
                <w:sz w:val="28"/>
                <w:szCs w:val="28"/>
                <w:lang w:val="en-US" w:eastAsia="zh-CN" w:bidi="ar"/>
              </w:rPr>
              <w:t>名称</w:t>
            </w:r>
            <w:r>
              <w:rPr>
                <w:rStyle w:val="21"/>
                <w:rFonts w:hint="eastAsia" w:ascii="仿宋" w:hAnsi="仿宋" w:eastAsia="仿宋" w:cs="仿宋"/>
                <w:sz w:val="28"/>
                <w:szCs w:val="28"/>
                <w:lang w:val="en-US" w:eastAsia="zh-CN" w:bidi="ar"/>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148E">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Style w:val="20"/>
                <w:rFonts w:hint="eastAsia" w:ascii="仿宋" w:hAnsi="仿宋" w:eastAsia="仿宋" w:cs="仿宋"/>
                <w:sz w:val="28"/>
                <w:szCs w:val="28"/>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D9C3">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227F">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Style w:val="20"/>
                <w:rFonts w:hint="eastAsia" w:ascii="仿宋" w:hAnsi="仿宋" w:eastAsia="仿宋" w:cs="仿宋"/>
                <w:sz w:val="28"/>
                <w:szCs w:val="28"/>
                <w:lang w:val="en-US" w:eastAsia="zh-CN" w:bidi="ar"/>
              </w:rPr>
              <w:t>单价（元）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5A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总价（元）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C39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备注</w:t>
            </w:r>
          </w:p>
        </w:tc>
      </w:tr>
      <w:tr w14:paraId="4B4F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top"/>
          </w:tcPr>
          <w:p w14:paraId="7F9AB9BD">
            <w:pPr>
              <w:keepNext w:val="0"/>
              <w:keepLines w:val="0"/>
              <w:widowControl/>
              <w:suppressLineNumbers w:val="0"/>
              <w:jc w:val="center"/>
              <w:textAlignment w:val="top"/>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爬梯加固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top"/>
          </w:tcPr>
          <w:p w14:paraId="5DA75AE2">
            <w:pPr>
              <w:keepNext w:val="0"/>
              <w:keepLines w:val="0"/>
              <w:widowControl/>
              <w:suppressLineNumbers w:val="0"/>
              <w:jc w:val="center"/>
              <w:textAlignment w:val="top"/>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3B3CF84">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14:paraId="7CACC01C">
            <w:pPr>
              <w:keepNext w:val="0"/>
              <w:keepLines w:val="0"/>
              <w:widowControl/>
              <w:suppressLineNumbers w:val="0"/>
              <w:jc w:val="center"/>
              <w:textAlignment w:val="top"/>
              <w:rPr>
                <w:rFonts w:hint="default" w:ascii="仿宋" w:hAnsi="仿宋" w:eastAsia="仿宋" w:cs="仿宋"/>
                <w:i w:val="0"/>
                <w:iCs w:val="0"/>
                <w:color w:val="000000"/>
                <w:sz w:val="28"/>
                <w:szCs w:val="28"/>
                <w:u w:val="none"/>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9C28">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351E">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含刷漆</w:t>
            </w:r>
          </w:p>
        </w:tc>
      </w:tr>
      <w:tr w14:paraId="0889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top"/>
          </w:tcPr>
          <w:p w14:paraId="55635ED8">
            <w:pPr>
              <w:keepNext w:val="0"/>
              <w:keepLines w:val="0"/>
              <w:widowControl/>
              <w:suppressLineNumbers w:val="0"/>
              <w:jc w:val="center"/>
              <w:textAlignment w:val="top"/>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维修平台整改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top"/>
          </w:tcPr>
          <w:p w14:paraId="1A51B766">
            <w:pPr>
              <w:keepNext w:val="0"/>
              <w:keepLines w:val="0"/>
              <w:widowControl/>
              <w:suppressLineNumbers w:val="0"/>
              <w:jc w:val="center"/>
              <w:textAlignment w:val="top"/>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6B80C60">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14:paraId="582F74A6">
            <w:pPr>
              <w:keepNext w:val="0"/>
              <w:keepLines w:val="0"/>
              <w:widowControl/>
              <w:suppressLineNumbers w:val="0"/>
              <w:jc w:val="center"/>
              <w:textAlignment w:val="top"/>
              <w:rPr>
                <w:rFonts w:hint="default" w:ascii="仿宋" w:hAnsi="仿宋" w:eastAsia="仿宋" w:cs="仿宋"/>
                <w:i w:val="0"/>
                <w:iCs w:val="0"/>
                <w:color w:val="000000"/>
                <w:sz w:val="28"/>
                <w:szCs w:val="28"/>
                <w:u w:val="none"/>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8C59">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359F">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含栏杆钢板及刷漆</w:t>
            </w:r>
          </w:p>
        </w:tc>
      </w:tr>
    </w:tbl>
    <w:p w14:paraId="66767B3F">
      <w:pPr>
        <w:pStyle w:val="5"/>
        <w:rPr>
          <w:rFonts w:hint="eastAsia"/>
          <w:lang w:val="en-US" w:eastAsia="zh-CN"/>
        </w:rPr>
      </w:pPr>
    </w:p>
    <w:p w14:paraId="7B05CEF9">
      <w:pPr>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三、招标技术质量目标</w:t>
      </w:r>
      <w:bookmarkStart w:id="21" w:name="_GoBack"/>
      <w:bookmarkEnd w:id="21"/>
    </w:p>
    <w:bookmarkEnd w:id="1"/>
    <w:bookmarkEnd w:id="2"/>
    <w:bookmarkEnd w:id="3"/>
    <w:bookmarkEnd w:id="4"/>
    <w:bookmarkEnd w:id="5"/>
    <w:p w14:paraId="75F1B7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保证项目：符合现行相应质量检验评定标准的规定。</w:t>
      </w:r>
    </w:p>
    <w:p w14:paraId="2C0779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基本项目：符合相应质量检验评定标准的优良规定。</w:t>
      </w:r>
    </w:p>
    <w:p w14:paraId="40F552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允许偏差项目：100%及其以上抽检应在质量检验评定标准规定允许偏差范围内。</w:t>
      </w:r>
    </w:p>
    <w:p w14:paraId="19C85E24">
      <w:pPr>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四、安全文明施工要求</w:t>
      </w:r>
    </w:p>
    <w:p w14:paraId="41117A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1．安全目标</w:t>
      </w:r>
    </w:p>
    <w:p w14:paraId="65C3D0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（1）不发生伤亡、火灾等事故。</w:t>
      </w:r>
    </w:p>
    <w:p w14:paraId="6304DC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（2）不发生坍塌、倾覆、高空坠落、触电、火灾、人身伤亡等重大安全事故。</w:t>
      </w:r>
    </w:p>
    <w:p w14:paraId="27BFEC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（3）不发生重大设备损坏事故。</w:t>
      </w:r>
    </w:p>
    <w:p w14:paraId="684452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（4）轻伤负伤频率不大于1‰。</w:t>
      </w:r>
    </w:p>
    <w:p w14:paraId="35C62F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2.安全管理</w:t>
      </w:r>
    </w:p>
    <w:p w14:paraId="576194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2.1承包商必须认真落实国家、地方政府和上级劳动保护和安全生产主管部门发布的有关安全问题有关生产和消防的法律、法规、方针、政策，应严格按照有关劳动保护法律、法规和规定执行。</w:t>
      </w:r>
    </w:p>
    <w:p w14:paraId="2EBB86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2.2承包人的施工现场必须符合国家和地方有关安全文明施工规范、规定和标准的要求。</w:t>
      </w:r>
    </w:p>
    <w:p w14:paraId="76A78E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2.3承包人应按照国家有关规定，建立项目施工安全管理机构，建立健全安全管理制度。</w:t>
      </w:r>
    </w:p>
    <w:p w14:paraId="6B9CBE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2.4现场的施工机械、电气设备和线路必须符合有关规程的要求，经施工负责人组织验收合格后，方可使用。严禁机电设备带“病”运转或超负荷使用。机械设备的危险部位，须有安全防护装置，超重设备要有限位保护装置。所有设备都要建立定期保养、维修制度。</w:t>
      </w:r>
    </w:p>
    <w:p w14:paraId="0B97B97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2.5施工过程中，施工单位应当教育施工人员认真做好个人每天工作完成后的落手清工作，当天做到工完料净地清，并对建筑垃圾工作当天及时清理运走，不准在现场堆放，并在第一时间运到指定堆放地点。不得倒入河道和业主生活垃圾容器。</w:t>
      </w:r>
    </w:p>
    <w:p w14:paraId="15949D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2.6施工现场内使用的电箱、电器和用电线路架设必须符合安装规范和安全操作规程，并按照施工组织设计进行架设，严禁任意拉线接电。</w:t>
      </w:r>
    </w:p>
    <w:p w14:paraId="6B9F2DC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2.7施工机械进场必须经过安全检查，经检查合格后方能使用。禁止无证人员操作。施工机械操作人员必须建立机组责任制，并依照有关规定持证上岗，穿好工作服和工作鞋，文明施工，按施工安全条例施工，并定期进行施工安全教育。</w:t>
      </w:r>
    </w:p>
    <w:p w14:paraId="608BF3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2.8竣工清理和保洁：承包人应在整体工程竣工前按要求进行全面彻底的竣工清理和保洁。</w:t>
      </w:r>
    </w:p>
    <w:p w14:paraId="71631811">
      <w:pPr>
        <w:rPr>
          <w:rFonts w:hint="eastAsia" w:ascii="仿宋" w:hAnsi="仿宋" w:eastAsia="仿宋" w:cs="仿宋"/>
          <w:b/>
          <w:bCs w:val="0"/>
          <w:color w:val="000000"/>
          <w:kern w:val="2"/>
          <w:sz w:val="28"/>
          <w:szCs w:val="28"/>
          <w:lang w:val="en-US" w:eastAsia="zh-CN" w:bidi="ar-SA"/>
        </w:rPr>
      </w:pPr>
      <w:bookmarkStart w:id="6" w:name="_Toc371677478"/>
      <w:r>
        <w:rPr>
          <w:rFonts w:hint="eastAsia" w:ascii="仿宋" w:hAnsi="仿宋" w:eastAsia="仿宋" w:cs="仿宋"/>
          <w:b/>
          <w:bCs w:val="0"/>
          <w:color w:val="000000"/>
          <w:kern w:val="2"/>
          <w:sz w:val="28"/>
          <w:szCs w:val="28"/>
          <w:lang w:val="en-US" w:eastAsia="zh-CN" w:bidi="ar-SA"/>
        </w:rPr>
        <w:t>五、成品及半成品保护和材料进场检验、试验</w:t>
      </w:r>
      <w:bookmarkEnd w:id="6"/>
    </w:p>
    <w:p w14:paraId="09CFDA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1．施工单位协调安排进场材料的堆放场地，对精装施工范围内的所有成品、半成品保护负有总体上的监护责任。施工过程中，对于工程上所有已施工/安装完成的各种半成品及成品，无论是否为承包人自施，承包人均负有看护及保管责任。</w:t>
      </w:r>
    </w:p>
    <w:p w14:paraId="3C1D73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2．材料进场办理书面交接，施工过程中严格执行工作面交接制度，办理书面工序交接手续。</w:t>
      </w:r>
    </w:p>
    <w:p w14:paraId="618B64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3．施工中所有施工成品、半成品必须悬挂醒目的成品保护标识、警句及安全标志。施工区域实行封闭式管理，采取谁作业谁负责的原则，并设立专人监督看护。</w:t>
      </w:r>
    </w:p>
    <w:p w14:paraId="7555F641">
      <w:pPr>
        <w:rPr>
          <w:rFonts w:hint="eastAsia" w:ascii="仿宋" w:hAnsi="仿宋" w:eastAsia="仿宋" w:cs="仿宋"/>
          <w:b/>
          <w:bCs w:val="0"/>
          <w:color w:val="000000"/>
          <w:kern w:val="2"/>
          <w:sz w:val="28"/>
          <w:szCs w:val="28"/>
          <w:lang w:val="en-US" w:eastAsia="zh-CN" w:bidi="ar-SA"/>
        </w:rPr>
      </w:pPr>
      <w:bookmarkStart w:id="7" w:name="_Toc371677479"/>
      <w:r>
        <w:rPr>
          <w:rFonts w:hint="eastAsia" w:ascii="仿宋" w:hAnsi="仿宋" w:eastAsia="仿宋" w:cs="仿宋"/>
          <w:b/>
          <w:bCs w:val="0"/>
          <w:color w:val="000000"/>
          <w:kern w:val="2"/>
          <w:sz w:val="28"/>
          <w:szCs w:val="28"/>
          <w:lang w:val="en-US" w:eastAsia="zh-CN" w:bidi="ar-SA"/>
        </w:rPr>
        <w:t>六、承包人应具备下列必要条件：</w:t>
      </w:r>
      <w:bookmarkEnd w:id="7"/>
    </w:p>
    <w:p w14:paraId="48FF9A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1．中标方需派一名经发包人认可的项目经理担任本工程项目经理，代表总公司法人，全权办理发包人和中标方一切事务，协调公司内部各级部门关系。</w:t>
      </w:r>
    </w:p>
    <w:p w14:paraId="7A0CEC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2．中标方需在现场配备设计人员，结合施工现场和设计图纸进行现场二次深化设计。</w:t>
      </w:r>
    </w:p>
    <w:p w14:paraId="4EBCAB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3．投标方必须具备与本工程相适应的技术负责人、各专业技术人员和机械设备的配备。</w:t>
      </w:r>
    </w:p>
    <w:p w14:paraId="278FBE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仿宋" w:hAnsi="仿宋" w:eastAsia="仿宋" w:cs="仿宋"/>
          <w:b w:val="0"/>
          <w:bCs/>
          <w:color w:val="000000"/>
          <w:kern w:val="2"/>
          <w:sz w:val="28"/>
          <w:szCs w:val="28"/>
          <w:lang w:val="en-US" w:eastAsia="zh-CN" w:bidi="ar-SA"/>
        </w:rPr>
        <w:t>4．投标方必须严格遵守和履行招投标文件和合同中各条款的约定。</w:t>
      </w:r>
    </w:p>
    <w:p w14:paraId="09179A3E">
      <w:pPr>
        <w:rPr>
          <w:rFonts w:hint="eastAsia" w:ascii="仿宋" w:hAnsi="仿宋" w:eastAsia="仿宋" w:cs="仿宋"/>
          <w:b/>
          <w:bCs w:val="0"/>
          <w:color w:val="000000"/>
          <w:kern w:val="2"/>
          <w:sz w:val="28"/>
          <w:szCs w:val="28"/>
          <w:lang w:val="en-US" w:eastAsia="zh-CN" w:bidi="ar-SA"/>
        </w:rPr>
      </w:pPr>
      <w:bookmarkStart w:id="8" w:name="_Toc371677480"/>
      <w:r>
        <w:rPr>
          <w:rFonts w:hint="eastAsia" w:ascii="仿宋" w:hAnsi="仿宋" w:eastAsia="仿宋" w:cs="仿宋"/>
          <w:b/>
          <w:bCs w:val="0"/>
          <w:color w:val="000000"/>
          <w:kern w:val="2"/>
          <w:sz w:val="28"/>
          <w:szCs w:val="28"/>
          <w:lang w:val="en-US" w:eastAsia="zh-CN" w:bidi="ar-SA"/>
        </w:rPr>
        <w:t>七、</w:t>
      </w:r>
      <w:bookmarkStart w:id="9" w:name="_Toc320018475"/>
      <w:r>
        <w:rPr>
          <w:rFonts w:hint="eastAsia" w:ascii="仿宋" w:hAnsi="仿宋" w:eastAsia="仿宋" w:cs="仿宋"/>
          <w:b/>
          <w:bCs w:val="0"/>
          <w:color w:val="000000"/>
          <w:kern w:val="2"/>
          <w:sz w:val="28"/>
          <w:szCs w:val="28"/>
          <w:lang w:val="en-US" w:eastAsia="zh-CN" w:bidi="ar-SA"/>
        </w:rPr>
        <w:t>施工部署要求</w:t>
      </w:r>
      <w:bookmarkEnd w:id="8"/>
      <w:bookmarkEnd w:id="9"/>
    </w:p>
    <w:p w14:paraId="183A17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针对本项目特点，对于一些关系到项目最终产品品质的工序，实施核心工序的量化指标和管理要求，简化操作过程中各方对技术规范体系的理解与明确可操控指标体系。</w:t>
      </w:r>
    </w:p>
    <w:p w14:paraId="6C9A87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仿宋" w:hAnsi="仿宋" w:eastAsia="仿宋" w:cs="仿宋"/>
          <w:b w:val="0"/>
          <w:bCs/>
          <w:color w:val="000000"/>
          <w:kern w:val="2"/>
          <w:sz w:val="28"/>
          <w:szCs w:val="28"/>
          <w:lang w:val="en-US" w:eastAsia="zh-CN" w:bidi="ar-SA"/>
        </w:rPr>
        <w:t>具体核心工序管控点设置要求如下：</w:t>
      </w:r>
    </w:p>
    <w:p w14:paraId="73ECB3F5">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1、焊工必须按图样、工艺文件、技术标准施焊。</w:t>
      </w:r>
    </w:p>
    <w:p w14:paraId="06705023">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2、施焊前应按焊接工艺卡的规定调整好焊接参数。不应在施焊产品上进行调整焊接参数。</w:t>
      </w:r>
    </w:p>
    <w:p w14:paraId="36545E35">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3、对容易产生变形的焊接件，可以使用工装夹具，并采用合理的焊接顺序。</w:t>
      </w:r>
    </w:p>
    <w:p w14:paraId="2B901CB0">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4、对图纸所规定的重要的焊缝，应在焊缝两端设置尺寸合适的引弧板和引出板。在不能使用引弧板和引出板时，不得在引弧处和收弧处产生焊接缺陷。</w:t>
      </w:r>
    </w:p>
    <w:p w14:paraId="1B2B1617">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5、工件尽可能置于平焊位置进行施焊。</w:t>
      </w:r>
    </w:p>
    <w:p w14:paraId="462A48DC">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6、在焊接过程中，应去除影响下一道焊缝施焊的任何缺陷。</w:t>
      </w:r>
    </w:p>
    <w:p w14:paraId="0013AB2E">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7、电弧擦伤处的弧坑需经打磨，使其均匀过渡到母材表面，当打磨后的母材厚度小于规定值时，则需补焊。</w:t>
      </w:r>
    </w:p>
    <w:p w14:paraId="0EE53480">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8、接弧处应保证焊透和熔合。</w:t>
      </w:r>
    </w:p>
    <w:p w14:paraId="6083D069">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9、施焊过程中按工艺文件规定控制层间温度。</w:t>
      </w:r>
    </w:p>
    <w:p w14:paraId="016B978A">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10、每条焊缝应尽可能一次焊完。焊接中断时，应对冷裂纹敏感的焊件应</w:t>
      </w:r>
    </w:p>
    <w:p w14:paraId="6E047460">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及时采取后热、缓冷等措施。重新施焊时，仍需按工艺文件规定进行预热。</w:t>
      </w:r>
    </w:p>
    <w:p w14:paraId="095983AC">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11、采用锤击改善焊接质量时，第一层焊缝和盖面层焊缝不得锤击。</w:t>
      </w:r>
    </w:p>
    <w:p w14:paraId="7C34AA53">
      <w:pPr>
        <w:spacing w:line="360" w:lineRule="auto"/>
        <w:ind w:firstLine="560" w:firstLineChars="2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12、焊后应清除熔渣和焊接飞溅，并目测检查外观质量。必要时可做局部返修，但必须符合本标准第8节的规定。</w:t>
      </w:r>
    </w:p>
    <w:p w14:paraId="07620C57">
      <w:pPr>
        <w:spacing w:line="360" w:lineRule="auto"/>
        <w:ind w:firstLine="560" w:firstLineChars="200"/>
        <w:jc w:val="left"/>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13、做好焊接记录。</w:t>
      </w:r>
    </w:p>
    <w:p w14:paraId="404FA52E">
      <w:pPr>
        <w:spacing w:line="360" w:lineRule="auto"/>
        <w:ind w:firstLine="560" w:firstLineChars="200"/>
        <w:jc w:val="left"/>
        <w:outlineLvl w:val="1"/>
        <w:rPr>
          <w:rFonts w:hint="eastAsia" w:ascii="仿宋" w:hAnsi="仿宋" w:eastAsia="仿宋" w:cs="仿宋"/>
          <w:b/>
          <w:bCs/>
          <w:sz w:val="28"/>
          <w:szCs w:val="28"/>
          <w:lang w:eastAsia="zh-CN"/>
        </w:rPr>
      </w:pPr>
      <w:r>
        <w:rPr>
          <w:rFonts w:hint="eastAsia" w:ascii="仿宋" w:hAnsi="仿宋" w:eastAsia="仿宋" w:cs="仿宋"/>
          <w:b/>
          <w:bCs w:val="0"/>
          <w:color w:val="000000"/>
          <w:kern w:val="2"/>
          <w:sz w:val="28"/>
          <w:szCs w:val="28"/>
          <w:lang w:val="en-US" w:eastAsia="zh-CN" w:bidi="ar-SA"/>
        </w:rPr>
        <w:t>八、</w:t>
      </w:r>
      <w:bookmarkStart w:id="10" w:name="_Toc22635"/>
      <w:bookmarkStart w:id="11" w:name="_Toc16811"/>
      <w:r>
        <w:rPr>
          <w:rFonts w:hint="eastAsia" w:ascii="仿宋" w:hAnsi="仿宋" w:eastAsia="仿宋" w:cs="仿宋"/>
          <w:b/>
          <w:bCs/>
          <w:sz w:val="28"/>
          <w:szCs w:val="28"/>
        </w:rPr>
        <w:t>质量保证</w:t>
      </w:r>
      <w:bookmarkEnd w:id="10"/>
      <w:bookmarkEnd w:id="11"/>
      <w:r>
        <w:rPr>
          <w:rFonts w:hint="eastAsia" w:ascii="仿宋" w:hAnsi="仿宋" w:eastAsia="仿宋" w:cs="仿宋"/>
          <w:b/>
          <w:bCs/>
          <w:sz w:val="28"/>
          <w:szCs w:val="28"/>
          <w:lang w:eastAsia="zh-CN"/>
        </w:rPr>
        <w:t>及</w:t>
      </w:r>
      <w:bookmarkStart w:id="12" w:name="_Toc10553"/>
      <w:r>
        <w:rPr>
          <w:rFonts w:hint="eastAsia" w:ascii="仿宋" w:hAnsi="仿宋" w:eastAsia="仿宋" w:cs="仿宋"/>
          <w:b/>
          <w:bCs/>
          <w:sz w:val="28"/>
          <w:szCs w:val="28"/>
        </w:rPr>
        <w:t>质量保证期</w:t>
      </w:r>
      <w:bookmarkEnd w:id="12"/>
    </w:p>
    <w:p w14:paraId="616BB37E">
      <w:pPr>
        <w:spacing w:line="360" w:lineRule="auto"/>
        <w:ind w:firstLine="560" w:firstLineChars="200"/>
        <w:jc w:val="left"/>
        <w:rPr>
          <w:rFonts w:hint="default" w:eastAsia="宋体"/>
          <w:lang w:val="en-US" w:eastAsia="zh-CN"/>
        </w:rPr>
      </w:pPr>
      <w:bookmarkStart w:id="13" w:name="_Toc26782"/>
      <w:r>
        <w:rPr>
          <w:rFonts w:hint="eastAsia" w:ascii="仿宋" w:hAnsi="仿宋" w:eastAsia="仿宋" w:cs="仿宋"/>
          <w:bCs/>
          <w:color w:val="000000"/>
          <w:sz w:val="28"/>
          <w:szCs w:val="28"/>
        </w:rPr>
        <w:t>在质量保证期内，如因质量等原因发生</w:t>
      </w:r>
      <w:r>
        <w:rPr>
          <w:rFonts w:hint="eastAsia" w:ascii="仿宋" w:hAnsi="仿宋" w:eastAsia="仿宋" w:cs="仿宋"/>
          <w:bCs/>
          <w:color w:val="000000"/>
          <w:sz w:val="28"/>
          <w:szCs w:val="28"/>
          <w:lang w:eastAsia="zh-CN"/>
        </w:rPr>
        <w:t>地坪漆损坏</w:t>
      </w:r>
      <w:r>
        <w:rPr>
          <w:rFonts w:hint="eastAsia" w:ascii="仿宋" w:hAnsi="仿宋" w:eastAsia="仿宋" w:cs="仿宋"/>
          <w:bCs/>
          <w:color w:val="000000"/>
          <w:sz w:val="28"/>
          <w:szCs w:val="28"/>
        </w:rPr>
        <w:t>，投标方须免费提供修复；投标方承诺负责保修期外的售后服务，并长期提供技术支持，协助投标方</w:t>
      </w:r>
      <w:r>
        <w:rPr>
          <w:rFonts w:hint="eastAsia" w:ascii="仿宋" w:hAnsi="仿宋" w:eastAsia="仿宋" w:cs="仿宋"/>
          <w:bCs/>
          <w:color w:val="000000"/>
          <w:sz w:val="28"/>
          <w:szCs w:val="28"/>
          <w:lang w:eastAsia="zh-CN"/>
        </w:rPr>
        <w:t>进行修复</w:t>
      </w:r>
      <w:r>
        <w:rPr>
          <w:rFonts w:hint="eastAsia" w:ascii="仿宋" w:hAnsi="仿宋" w:eastAsia="仿宋" w:cs="仿宋"/>
          <w:bCs/>
          <w:color w:val="000000"/>
          <w:sz w:val="28"/>
          <w:szCs w:val="28"/>
        </w:rPr>
        <w:t>，保修期外的服务只收取</w:t>
      </w:r>
      <w:r>
        <w:rPr>
          <w:rFonts w:hint="eastAsia" w:ascii="仿宋" w:hAnsi="仿宋" w:eastAsia="仿宋" w:cs="仿宋"/>
          <w:bCs/>
          <w:color w:val="000000"/>
          <w:sz w:val="28"/>
          <w:szCs w:val="28"/>
          <w:lang w:eastAsia="zh-CN"/>
        </w:rPr>
        <w:t>材料</w:t>
      </w:r>
      <w:r>
        <w:rPr>
          <w:rFonts w:hint="eastAsia" w:ascii="仿宋" w:hAnsi="仿宋" w:eastAsia="仿宋" w:cs="仿宋"/>
          <w:bCs/>
          <w:color w:val="000000"/>
          <w:sz w:val="28"/>
          <w:szCs w:val="28"/>
        </w:rPr>
        <w:t>费及成本费。</w:t>
      </w:r>
    </w:p>
    <w:bookmarkEnd w:id="13"/>
    <w:p w14:paraId="46B0D41C">
      <w:pPr>
        <w:spacing w:line="360" w:lineRule="auto"/>
        <w:ind w:left="558" w:leftChars="266"/>
        <w:rPr>
          <w:rFonts w:hint="eastAsia" w:ascii="仿宋" w:hAnsi="仿宋" w:eastAsia="仿宋" w:cs="仿宋"/>
          <w:bCs/>
          <w:color w:val="000000"/>
          <w:sz w:val="28"/>
          <w:szCs w:val="28"/>
        </w:rPr>
      </w:pPr>
      <w:bookmarkStart w:id="14" w:name="_Toc7216"/>
      <w:r>
        <w:rPr>
          <w:rFonts w:hint="eastAsia" w:ascii="仿宋" w:hAnsi="仿宋" w:eastAsia="仿宋" w:cs="仿宋"/>
          <w:bCs/>
          <w:color w:val="000000"/>
          <w:sz w:val="28"/>
          <w:szCs w:val="28"/>
        </w:rPr>
        <w:t>质量保证期：自最终验收合格之日起，保修</w:t>
      </w: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rPr>
        <w:t>年。</w:t>
      </w:r>
    </w:p>
    <w:bookmarkEnd w:id="14"/>
    <w:p w14:paraId="5067C5BE">
      <w:pPr>
        <w:spacing w:line="360" w:lineRule="auto"/>
        <w:ind w:firstLine="560" w:firstLineChars="200"/>
        <w:jc w:val="left"/>
        <w:outlineLvl w:val="1"/>
      </w:pPr>
      <w:bookmarkStart w:id="15" w:name="_Toc25281"/>
      <w:r>
        <w:rPr>
          <w:rFonts w:hint="eastAsia" w:ascii="仿宋" w:hAnsi="仿宋" w:eastAsia="仿宋" w:cs="仿宋"/>
          <w:b/>
          <w:bCs w:val="0"/>
          <w:color w:val="000000"/>
          <w:kern w:val="2"/>
          <w:sz w:val="28"/>
          <w:szCs w:val="28"/>
          <w:lang w:val="en-US" w:eastAsia="zh-CN" w:bidi="ar-SA"/>
        </w:rPr>
        <w:t xml:space="preserve">九、 </w:t>
      </w:r>
      <w:bookmarkStart w:id="16" w:name="_Toc27193"/>
      <w:bookmarkStart w:id="17" w:name="_Toc28602"/>
      <w:r>
        <w:rPr>
          <w:rFonts w:hint="eastAsia" w:ascii="仿宋" w:hAnsi="仿宋" w:eastAsia="仿宋" w:cs="仿宋"/>
          <w:b/>
          <w:bCs w:val="0"/>
          <w:color w:val="000000"/>
          <w:kern w:val="2"/>
          <w:sz w:val="28"/>
          <w:szCs w:val="28"/>
          <w:lang w:val="en-US" w:eastAsia="zh-CN" w:bidi="ar-SA"/>
        </w:rPr>
        <w:t>维修材料清单（由投标方填写、补充）</w:t>
      </w:r>
      <w:bookmarkEnd w:id="15"/>
      <w:bookmarkEnd w:id="16"/>
      <w:bookmarkEnd w:id="17"/>
    </w:p>
    <w:p w14:paraId="4CCB2D3C">
      <w:pPr>
        <w:pStyle w:val="13"/>
        <w:ind w:left="0" w:leftChars="0" w:firstLine="560" w:firstLineChars="200"/>
        <w:outlineLvl w:val="1"/>
        <w:rPr>
          <w:rFonts w:hint="default" w:ascii="仿宋" w:hAnsi="仿宋" w:eastAsia="仿宋" w:cs="仿宋"/>
          <w:b/>
          <w:bCs/>
          <w:sz w:val="28"/>
          <w:szCs w:val="28"/>
          <w:lang w:val="en-US" w:eastAsia="zh-CN"/>
        </w:rPr>
      </w:pPr>
      <w:bookmarkStart w:id="18" w:name="_Toc26132"/>
      <w:bookmarkStart w:id="19" w:name="_Toc13992"/>
      <w:bookmarkStart w:id="20" w:name="_Toc31373"/>
      <w:r>
        <w:rPr>
          <w:rFonts w:hint="eastAsia" w:ascii="仿宋" w:hAnsi="仿宋" w:eastAsia="仿宋" w:cs="仿宋"/>
          <w:b/>
          <w:bCs/>
          <w:sz w:val="28"/>
          <w:szCs w:val="28"/>
          <w:lang w:val="en-US" w:eastAsia="zh-CN"/>
        </w:rPr>
        <w:t>9</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维修材料</w:t>
      </w:r>
      <w:r>
        <w:rPr>
          <w:rFonts w:hint="eastAsia" w:ascii="仿宋" w:hAnsi="仿宋" w:eastAsia="仿宋" w:cs="仿宋"/>
          <w:b/>
          <w:bCs/>
          <w:sz w:val="28"/>
          <w:szCs w:val="28"/>
        </w:rPr>
        <w:t>清单</w:t>
      </w:r>
      <w:bookmarkEnd w:id="18"/>
      <w:bookmarkEnd w:id="19"/>
      <w:bookmarkEnd w:id="20"/>
      <w:r>
        <w:rPr>
          <w:rFonts w:hint="eastAsia" w:ascii="仿宋" w:hAnsi="仿宋" w:eastAsia="仿宋" w:cs="仿宋"/>
          <w:b/>
          <w:bCs/>
          <w:sz w:val="28"/>
          <w:szCs w:val="28"/>
          <w:lang w:val="en-US" w:eastAsia="zh-CN"/>
        </w:rPr>
        <w:t>(包含但不限于，满足现场施工需要)</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92"/>
        <w:gridCol w:w="2344"/>
        <w:gridCol w:w="2209"/>
        <w:gridCol w:w="1614"/>
      </w:tblGrid>
      <w:tr w14:paraId="26242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31" w:type="dxa"/>
            <w:noWrap w:val="0"/>
            <w:vAlign w:val="center"/>
          </w:tcPr>
          <w:p w14:paraId="7A3FF663">
            <w:pPr>
              <w:jc w:val="center"/>
              <w:rPr>
                <w:rFonts w:hint="eastAsia" w:ascii="仿宋" w:hAnsi="仿宋" w:eastAsia="仿宋" w:cs="仿宋"/>
                <w:sz w:val="24"/>
              </w:rPr>
            </w:pPr>
            <w:r>
              <w:rPr>
                <w:rFonts w:hint="eastAsia" w:ascii="仿宋" w:hAnsi="仿宋" w:eastAsia="仿宋" w:cs="仿宋"/>
                <w:sz w:val="24"/>
              </w:rPr>
              <w:t>序号</w:t>
            </w:r>
          </w:p>
        </w:tc>
        <w:tc>
          <w:tcPr>
            <w:tcW w:w="1792" w:type="dxa"/>
            <w:noWrap w:val="0"/>
            <w:vAlign w:val="center"/>
          </w:tcPr>
          <w:p w14:paraId="00F200BE">
            <w:pPr>
              <w:jc w:val="center"/>
              <w:rPr>
                <w:rFonts w:hint="eastAsia" w:ascii="仿宋" w:hAnsi="仿宋" w:eastAsia="仿宋" w:cs="仿宋"/>
                <w:sz w:val="24"/>
              </w:rPr>
            </w:pPr>
            <w:r>
              <w:rPr>
                <w:rFonts w:hint="eastAsia" w:ascii="仿宋" w:hAnsi="仿宋" w:eastAsia="仿宋" w:cs="仿宋"/>
                <w:sz w:val="24"/>
              </w:rPr>
              <w:t>产品名称</w:t>
            </w:r>
          </w:p>
        </w:tc>
        <w:tc>
          <w:tcPr>
            <w:tcW w:w="2344" w:type="dxa"/>
            <w:noWrap w:val="0"/>
            <w:vAlign w:val="center"/>
          </w:tcPr>
          <w:p w14:paraId="677FE4F9">
            <w:pPr>
              <w:jc w:val="center"/>
              <w:rPr>
                <w:rFonts w:hint="eastAsia" w:ascii="仿宋" w:hAnsi="仿宋" w:eastAsia="仿宋" w:cs="仿宋"/>
                <w:sz w:val="24"/>
              </w:rPr>
            </w:pPr>
            <w:r>
              <w:rPr>
                <w:rFonts w:hint="eastAsia" w:ascii="仿宋" w:hAnsi="仿宋" w:eastAsia="仿宋" w:cs="仿宋"/>
                <w:sz w:val="24"/>
              </w:rPr>
              <w:t>简要规格</w:t>
            </w:r>
          </w:p>
        </w:tc>
        <w:tc>
          <w:tcPr>
            <w:tcW w:w="2209" w:type="dxa"/>
            <w:noWrap w:val="0"/>
            <w:vAlign w:val="center"/>
          </w:tcPr>
          <w:p w14:paraId="5A616562">
            <w:pPr>
              <w:jc w:val="center"/>
              <w:rPr>
                <w:rFonts w:hint="eastAsia" w:ascii="仿宋" w:hAnsi="仿宋" w:eastAsia="仿宋" w:cs="仿宋"/>
                <w:sz w:val="24"/>
              </w:rPr>
            </w:pPr>
            <w:r>
              <w:rPr>
                <w:rFonts w:hint="eastAsia" w:ascii="仿宋" w:hAnsi="仿宋" w:eastAsia="仿宋" w:cs="仿宋"/>
                <w:sz w:val="24"/>
              </w:rPr>
              <w:t>单位</w:t>
            </w:r>
          </w:p>
        </w:tc>
        <w:tc>
          <w:tcPr>
            <w:tcW w:w="1614" w:type="dxa"/>
            <w:noWrap w:val="0"/>
            <w:vAlign w:val="center"/>
          </w:tcPr>
          <w:p w14:paraId="60E5A34E">
            <w:pPr>
              <w:jc w:val="center"/>
              <w:rPr>
                <w:rFonts w:hint="eastAsia" w:ascii="仿宋" w:hAnsi="仿宋" w:eastAsia="仿宋" w:cs="仿宋"/>
                <w:sz w:val="24"/>
              </w:rPr>
            </w:pPr>
            <w:r>
              <w:rPr>
                <w:rFonts w:hint="eastAsia" w:ascii="仿宋" w:hAnsi="仿宋" w:eastAsia="仿宋" w:cs="仿宋"/>
                <w:sz w:val="24"/>
              </w:rPr>
              <w:t>数量</w:t>
            </w:r>
          </w:p>
        </w:tc>
      </w:tr>
      <w:tr w14:paraId="59213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noWrap w:val="0"/>
            <w:vAlign w:val="center"/>
          </w:tcPr>
          <w:p w14:paraId="1ACBE4FB">
            <w:pPr>
              <w:jc w:val="center"/>
              <w:rPr>
                <w:rFonts w:hint="eastAsia" w:ascii="仿宋" w:hAnsi="仿宋" w:eastAsia="仿宋" w:cs="仿宋"/>
                <w:sz w:val="24"/>
              </w:rPr>
            </w:pPr>
            <w:r>
              <w:rPr>
                <w:rFonts w:hint="eastAsia" w:ascii="仿宋" w:hAnsi="仿宋" w:eastAsia="仿宋" w:cs="仿宋"/>
                <w:sz w:val="24"/>
              </w:rPr>
              <w:t>1</w:t>
            </w:r>
          </w:p>
        </w:tc>
        <w:tc>
          <w:tcPr>
            <w:tcW w:w="1792" w:type="dxa"/>
            <w:noWrap w:val="0"/>
            <w:vAlign w:val="center"/>
          </w:tcPr>
          <w:p w14:paraId="07E086C2">
            <w:pPr>
              <w:jc w:val="center"/>
              <w:rPr>
                <w:rFonts w:hint="default" w:ascii="仿宋" w:hAnsi="仿宋" w:eastAsia="仿宋" w:cs="仿宋"/>
                <w:sz w:val="24"/>
                <w:lang w:val="en-US" w:eastAsia="zh-CN"/>
              </w:rPr>
            </w:pPr>
            <w:r>
              <w:rPr>
                <w:rFonts w:hint="eastAsia" w:ascii="仿宋" w:hAnsi="仿宋" w:eastAsia="仿宋" w:cs="仿宋"/>
                <w:sz w:val="24"/>
                <w:lang w:val="en-US" w:eastAsia="zh-CN"/>
              </w:rPr>
              <w:t>钢板</w:t>
            </w:r>
          </w:p>
        </w:tc>
        <w:tc>
          <w:tcPr>
            <w:tcW w:w="2344" w:type="dxa"/>
            <w:noWrap w:val="0"/>
            <w:vAlign w:val="center"/>
          </w:tcPr>
          <w:p w14:paraId="13560DBF">
            <w:pPr>
              <w:jc w:val="center"/>
              <w:rPr>
                <w:rFonts w:hint="eastAsia" w:ascii="仿宋" w:hAnsi="仿宋" w:eastAsia="仿宋" w:cs="仿宋"/>
                <w:sz w:val="24"/>
              </w:rPr>
            </w:pPr>
          </w:p>
        </w:tc>
        <w:tc>
          <w:tcPr>
            <w:tcW w:w="2209" w:type="dxa"/>
            <w:noWrap w:val="0"/>
            <w:vAlign w:val="center"/>
          </w:tcPr>
          <w:p w14:paraId="687D1876">
            <w:pPr>
              <w:jc w:val="center"/>
              <w:rPr>
                <w:rFonts w:hint="eastAsia" w:ascii="仿宋" w:hAnsi="仿宋" w:eastAsia="仿宋" w:cs="仿宋"/>
                <w:sz w:val="24"/>
                <w:lang w:val="en-US" w:eastAsia="zh-CN"/>
              </w:rPr>
            </w:pPr>
          </w:p>
        </w:tc>
        <w:tc>
          <w:tcPr>
            <w:tcW w:w="1614" w:type="dxa"/>
            <w:noWrap w:val="0"/>
            <w:vAlign w:val="center"/>
          </w:tcPr>
          <w:p w14:paraId="78F37534">
            <w:pPr>
              <w:jc w:val="center"/>
              <w:rPr>
                <w:rFonts w:hint="eastAsia" w:ascii="仿宋" w:hAnsi="仿宋" w:eastAsia="仿宋" w:cs="仿宋"/>
                <w:sz w:val="24"/>
              </w:rPr>
            </w:pPr>
          </w:p>
        </w:tc>
      </w:tr>
      <w:tr w14:paraId="6734E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noWrap w:val="0"/>
            <w:vAlign w:val="center"/>
          </w:tcPr>
          <w:p w14:paraId="61A71C00">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792" w:type="dxa"/>
            <w:noWrap w:val="0"/>
            <w:vAlign w:val="center"/>
          </w:tcPr>
          <w:p w14:paraId="62DC625F">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栏杆</w:t>
            </w:r>
          </w:p>
        </w:tc>
        <w:tc>
          <w:tcPr>
            <w:tcW w:w="2344" w:type="dxa"/>
            <w:noWrap w:val="0"/>
            <w:vAlign w:val="center"/>
          </w:tcPr>
          <w:p w14:paraId="2140EF48">
            <w:pPr>
              <w:jc w:val="center"/>
              <w:rPr>
                <w:rFonts w:hint="eastAsia" w:ascii="仿宋" w:hAnsi="仿宋" w:eastAsia="仿宋" w:cs="仿宋"/>
                <w:sz w:val="24"/>
              </w:rPr>
            </w:pPr>
          </w:p>
        </w:tc>
        <w:tc>
          <w:tcPr>
            <w:tcW w:w="2209" w:type="dxa"/>
            <w:noWrap w:val="0"/>
            <w:vAlign w:val="center"/>
          </w:tcPr>
          <w:p w14:paraId="4516B574">
            <w:pPr>
              <w:jc w:val="center"/>
              <w:rPr>
                <w:rFonts w:hint="eastAsia" w:ascii="仿宋" w:hAnsi="仿宋" w:eastAsia="仿宋" w:cs="仿宋"/>
                <w:sz w:val="24"/>
              </w:rPr>
            </w:pPr>
          </w:p>
        </w:tc>
        <w:tc>
          <w:tcPr>
            <w:tcW w:w="1614" w:type="dxa"/>
            <w:noWrap w:val="0"/>
            <w:vAlign w:val="center"/>
          </w:tcPr>
          <w:p w14:paraId="450A5F28">
            <w:pPr>
              <w:jc w:val="center"/>
              <w:rPr>
                <w:rFonts w:hint="eastAsia" w:ascii="仿宋" w:hAnsi="仿宋" w:eastAsia="仿宋" w:cs="仿宋"/>
                <w:sz w:val="24"/>
              </w:rPr>
            </w:pPr>
          </w:p>
        </w:tc>
      </w:tr>
      <w:tr w14:paraId="2F8FD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noWrap w:val="0"/>
            <w:vAlign w:val="center"/>
          </w:tcPr>
          <w:p w14:paraId="40BBA2EF">
            <w:pPr>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792" w:type="dxa"/>
            <w:noWrap w:val="0"/>
            <w:vAlign w:val="center"/>
          </w:tcPr>
          <w:p w14:paraId="4BFC8AB0">
            <w:pPr>
              <w:jc w:val="center"/>
              <w:rPr>
                <w:rFonts w:hint="default" w:ascii="仿宋" w:hAnsi="仿宋" w:eastAsia="仿宋" w:cs="仿宋"/>
                <w:sz w:val="24"/>
                <w:lang w:val="en-US" w:eastAsia="zh-CN"/>
              </w:rPr>
            </w:pPr>
            <w:r>
              <w:rPr>
                <w:rFonts w:hint="eastAsia" w:ascii="仿宋" w:hAnsi="仿宋" w:eastAsia="仿宋" w:cs="仿宋"/>
                <w:sz w:val="24"/>
                <w:lang w:val="en-US" w:eastAsia="zh-CN"/>
              </w:rPr>
              <w:t>钢筋</w:t>
            </w:r>
          </w:p>
        </w:tc>
        <w:tc>
          <w:tcPr>
            <w:tcW w:w="2344" w:type="dxa"/>
            <w:noWrap w:val="0"/>
            <w:vAlign w:val="center"/>
          </w:tcPr>
          <w:p w14:paraId="10C108BB">
            <w:pPr>
              <w:jc w:val="center"/>
              <w:rPr>
                <w:rFonts w:hint="eastAsia" w:ascii="仿宋" w:hAnsi="仿宋" w:eastAsia="仿宋" w:cs="仿宋"/>
                <w:sz w:val="24"/>
              </w:rPr>
            </w:pPr>
          </w:p>
        </w:tc>
        <w:tc>
          <w:tcPr>
            <w:tcW w:w="2209" w:type="dxa"/>
            <w:noWrap w:val="0"/>
            <w:vAlign w:val="center"/>
          </w:tcPr>
          <w:p w14:paraId="4BFA60E1">
            <w:pPr>
              <w:jc w:val="center"/>
              <w:rPr>
                <w:rFonts w:hint="eastAsia" w:ascii="仿宋" w:hAnsi="仿宋" w:eastAsia="仿宋" w:cs="仿宋"/>
                <w:sz w:val="24"/>
              </w:rPr>
            </w:pPr>
          </w:p>
        </w:tc>
        <w:tc>
          <w:tcPr>
            <w:tcW w:w="1614" w:type="dxa"/>
            <w:noWrap w:val="0"/>
            <w:vAlign w:val="center"/>
          </w:tcPr>
          <w:p w14:paraId="4F740FF9">
            <w:pPr>
              <w:jc w:val="center"/>
              <w:rPr>
                <w:rFonts w:hint="eastAsia" w:ascii="仿宋" w:hAnsi="仿宋" w:eastAsia="仿宋" w:cs="仿宋"/>
                <w:sz w:val="24"/>
              </w:rPr>
            </w:pPr>
          </w:p>
        </w:tc>
      </w:tr>
      <w:tr w14:paraId="67EAF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noWrap w:val="0"/>
            <w:vAlign w:val="center"/>
          </w:tcPr>
          <w:p w14:paraId="3C97C292">
            <w:pPr>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792" w:type="dxa"/>
            <w:noWrap w:val="0"/>
            <w:vAlign w:val="center"/>
          </w:tcPr>
          <w:p w14:paraId="38201852">
            <w:pPr>
              <w:jc w:val="center"/>
              <w:rPr>
                <w:rFonts w:hint="default" w:ascii="仿宋" w:hAnsi="仿宋" w:eastAsia="仿宋" w:cs="仿宋"/>
                <w:sz w:val="24"/>
                <w:lang w:val="en-US" w:eastAsia="zh-CN"/>
              </w:rPr>
            </w:pPr>
            <w:r>
              <w:rPr>
                <w:rFonts w:hint="eastAsia" w:ascii="仿宋" w:hAnsi="仿宋" w:eastAsia="仿宋" w:cs="仿宋"/>
                <w:sz w:val="24"/>
                <w:lang w:val="en-US" w:eastAsia="zh-CN"/>
              </w:rPr>
              <w:t>耗材</w:t>
            </w:r>
          </w:p>
        </w:tc>
        <w:tc>
          <w:tcPr>
            <w:tcW w:w="2344" w:type="dxa"/>
            <w:noWrap w:val="0"/>
            <w:vAlign w:val="center"/>
          </w:tcPr>
          <w:p w14:paraId="1AC363A8">
            <w:pPr>
              <w:jc w:val="center"/>
              <w:rPr>
                <w:rFonts w:hint="eastAsia" w:ascii="仿宋" w:hAnsi="仿宋" w:eastAsia="仿宋" w:cs="仿宋"/>
                <w:sz w:val="24"/>
              </w:rPr>
            </w:pPr>
          </w:p>
        </w:tc>
        <w:tc>
          <w:tcPr>
            <w:tcW w:w="2209" w:type="dxa"/>
            <w:noWrap w:val="0"/>
            <w:vAlign w:val="center"/>
          </w:tcPr>
          <w:p w14:paraId="4C0F61A6">
            <w:pPr>
              <w:jc w:val="center"/>
              <w:rPr>
                <w:rFonts w:hint="eastAsia" w:ascii="仿宋" w:hAnsi="仿宋" w:eastAsia="仿宋" w:cs="仿宋"/>
                <w:sz w:val="24"/>
              </w:rPr>
            </w:pPr>
          </w:p>
        </w:tc>
        <w:tc>
          <w:tcPr>
            <w:tcW w:w="1614" w:type="dxa"/>
            <w:noWrap w:val="0"/>
            <w:vAlign w:val="center"/>
          </w:tcPr>
          <w:p w14:paraId="03844705">
            <w:pPr>
              <w:jc w:val="center"/>
              <w:rPr>
                <w:rFonts w:hint="eastAsia" w:ascii="仿宋" w:hAnsi="仿宋" w:eastAsia="仿宋" w:cs="仿宋"/>
                <w:sz w:val="24"/>
              </w:rPr>
            </w:pPr>
          </w:p>
        </w:tc>
      </w:tr>
    </w:tbl>
    <w:p w14:paraId="7FC64970"/>
    <w:p w14:paraId="4068D8F2">
      <w:pPr>
        <w:pStyle w:val="12"/>
      </w:pPr>
    </w:p>
    <w:p w14:paraId="274764C1">
      <w:pPr>
        <w:pStyle w:val="12"/>
        <w:ind w:left="0" w:leftChars="0" w:firstLine="0" w:firstLineChars="0"/>
      </w:pPr>
    </w:p>
    <w:p w14:paraId="578B4389">
      <w:pPr>
        <w:pStyle w:val="13"/>
      </w:pPr>
    </w:p>
    <w:p w14:paraId="2D865072">
      <w:pPr>
        <w:keepNext w:val="0"/>
        <w:keepLines w:val="0"/>
        <w:pageBreakBefore w:val="0"/>
        <w:widowControl w:val="0"/>
        <w:kinsoku/>
        <w:wordWrap/>
        <w:overflowPunct/>
        <w:topLinePunct w:val="0"/>
        <w:autoSpaceDE w:val="0"/>
        <w:autoSpaceDN w:val="0"/>
        <w:bidi w:val="0"/>
        <w:adjustRightInd w:val="0"/>
        <w:snapToGrid/>
        <w:spacing w:line="360" w:lineRule="auto"/>
        <w:ind w:left="4" w:leftChars="0" w:firstLine="560" w:firstLineChars="200"/>
        <w:textAlignment w:val="auto"/>
        <w:rPr>
          <w:rFonts w:hint="eastAsia" w:ascii="仿宋" w:hAnsi="仿宋" w:eastAsia="仿宋" w:cs="仿宋"/>
          <w:b w:val="0"/>
          <w:bCs/>
          <w:color w:val="000000"/>
          <w:kern w:val="2"/>
          <w:sz w:val="28"/>
          <w:szCs w:val="28"/>
          <w:lang w:val="zh-CN" w:eastAsia="zh-CN" w:bidi="ar-SA"/>
        </w:rPr>
      </w:pPr>
    </w:p>
    <w:sectPr>
      <w:footerReference r:id="rId7" w:type="first"/>
      <w:footerReference r:id="rId6" w:type="default"/>
      <w:pgSz w:w="11906" w:h="16838"/>
      <w:pgMar w:top="1440" w:right="1418" w:bottom="1440" w:left="1418" w:header="851" w:footer="992" w:gutter="0"/>
      <w:pgNumType w:start="1" w:chapStyle="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821B">
    <w:pPr>
      <w:pStyle w:val="7"/>
      <w:framePr w:wrap="around" w:vAnchor="text" w:hAnchor="margin" w:xAlign="right" w:y="1"/>
      <w:rPr>
        <w:rStyle w:val="16"/>
      </w:rPr>
    </w:pPr>
  </w:p>
  <w:p w14:paraId="608D4EBE">
    <w:pPr>
      <w:pStyle w:val="7"/>
      <w:tabs>
        <w:tab w:val="left" w:pos="5135"/>
      </w:tabs>
      <w:ind w:right="360"/>
      <w:rPr>
        <w:rFonts w:hint="eastAsia"/>
      </w:rPr>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C03E">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4882AA72">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22AD">
    <w:pPr>
      <w:pStyle w:val="7"/>
      <w:rPr>
        <w:rStyle w:val="16"/>
      </w:rPr>
    </w:pPr>
    <w:r>
      <mc:AlternateContent>
        <mc:Choice Requires="wps">
          <w:drawing>
            <wp:anchor distT="0" distB="0" distL="114300" distR="114300" simplePos="0" relativeHeight="251659264" behindDoc="0" locked="0" layoutInCell="1" allowOverlap="1">
              <wp:simplePos x="0" y="0"/>
              <wp:positionH relativeFrom="margin">
                <wp:posOffset>2971800</wp:posOffset>
              </wp:positionH>
              <wp:positionV relativeFrom="paragraph">
                <wp:posOffset>12700</wp:posOffset>
              </wp:positionV>
              <wp:extent cx="358775"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8775" cy="180340"/>
                      </a:xfrm>
                      <a:prstGeom prst="rect">
                        <a:avLst/>
                      </a:prstGeom>
                      <a:noFill/>
                      <a:ln>
                        <a:noFill/>
                      </a:ln>
                    </wps:spPr>
                    <wps:txbx>
                      <w:txbxContent>
                        <w:p w14:paraId="4AB54E35">
                          <w:pPr>
                            <w:pStyle w:val="7"/>
                          </w:pPr>
                          <w:r>
                            <w:fldChar w:fldCharType="begin"/>
                          </w:r>
                          <w:r>
                            <w:instrText xml:space="preserve"> PAGE  \* MERGEFORMAT </w:instrText>
                          </w:r>
                          <w:r>
                            <w:fldChar w:fldCharType="separate"/>
                          </w:r>
                          <w:r>
                            <w:t>- 3 -</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34pt;margin-top:1pt;height:14.2pt;width:28.25pt;mso-position-horizontal-relative:margin;z-index:251659264;mso-width-relative:page;mso-height-relative:page;" filled="f" stroked="f" coordsize="21600,21600" o:gfxdata="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TpLJ2AAAAAgBAAAPAAAAAAAAAAEAIAAAACIAAABkcnMvZG93bnJldi54bWxQSwEC&#10;FAAUAAAACACHTuJAbFdTUrsBAABxAwAADgAAAAAAAAABACAAAAAnAQAAZHJzL2Uyb0RvYy54bWxQ&#10;SwUGAAAAAAYABgBZAQAAVAUAAAAA&#10;">
              <v:fill on="f" focussize="0,0"/>
              <v:stroke on="f"/>
              <v:imagedata o:title=""/>
              <o:lock v:ext="edit" aspectratio="f"/>
              <v:textbox inset="0mm,0mm,0mm,0mm">
                <w:txbxContent>
                  <w:p w14:paraId="4AB54E35">
                    <w:pPr>
                      <w:pStyle w:val="7"/>
                    </w:pPr>
                    <w:r>
                      <w:fldChar w:fldCharType="begin"/>
                    </w:r>
                    <w:r>
                      <w:instrText xml:space="preserve"> PAGE  \* MERGEFORMAT </w:instrText>
                    </w:r>
                    <w:r>
                      <w:fldChar w:fldCharType="separate"/>
                    </w:r>
                    <w:r>
                      <w:t>- 3 -</w:t>
                    </w:r>
                    <w:r>
                      <w:fldChar w:fldCharType="end"/>
                    </w:r>
                  </w:p>
                </w:txbxContent>
              </v:textbox>
            </v:shape>
          </w:pict>
        </mc:Fallback>
      </mc:AlternateContent>
    </w:r>
  </w:p>
  <w:p w14:paraId="45294F23">
    <w:pPr>
      <w:pStyle w:val="7"/>
      <w:tabs>
        <w:tab w:val="left" w:pos="5135"/>
      </w:tabs>
      <w:ind w:right="360"/>
      <w:rPr>
        <w:rFonts w:hint="eastAsia"/>
      </w:rPr>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600E">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73ABCA">
                          <w:pPr>
                            <w:pStyle w:val="7"/>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C73ABCA">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C656">
    <w:pPr>
      <w:pStyle w:val="8"/>
      <w:pBdr>
        <w:bottom w:val="none" w:color="auto" w:sz="0" w:space="1"/>
      </w:pBdr>
      <w:ind w:firstLine="90" w:firstLineChars="50"/>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YmU0Njc0MzhmMzVmNDFlMGJkODEyYWE2ZDc5YTUifQ=="/>
  </w:docVars>
  <w:rsids>
    <w:rsidRoot w:val="00000000"/>
    <w:rsid w:val="02EE59E6"/>
    <w:rsid w:val="04564DE0"/>
    <w:rsid w:val="10EF574B"/>
    <w:rsid w:val="1D787651"/>
    <w:rsid w:val="24D64473"/>
    <w:rsid w:val="25590253"/>
    <w:rsid w:val="25A0231E"/>
    <w:rsid w:val="2DDD250D"/>
    <w:rsid w:val="2E14799F"/>
    <w:rsid w:val="313B6900"/>
    <w:rsid w:val="33325031"/>
    <w:rsid w:val="339F574E"/>
    <w:rsid w:val="3CE6634A"/>
    <w:rsid w:val="40A95AC8"/>
    <w:rsid w:val="45B24076"/>
    <w:rsid w:val="4ACC7DAA"/>
    <w:rsid w:val="4B904E59"/>
    <w:rsid w:val="4E4642F0"/>
    <w:rsid w:val="4F88543F"/>
    <w:rsid w:val="51626FFE"/>
    <w:rsid w:val="578735B4"/>
    <w:rsid w:val="59FA4486"/>
    <w:rsid w:val="5AAB69E4"/>
    <w:rsid w:val="5B9850FC"/>
    <w:rsid w:val="6E424164"/>
    <w:rsid w:val="6FD46A12"/>
    <w:rsid w:val="749A1E4B"/>
    <w:rsid w:val="74E0737A"/>
    <w:rsid w:val="786A02F1"/>
    <w:rsid w:val="79BC0A44"/>
    <w:rsid w:val="7A6466DB"/>
    <w:rsid w:val="7B1C05F7"/>
    <w:rsid w:val="7C0D56F7"/>
    <w:rsid w:val="7DA9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bCs/>
      <w:kern w:val="44"/>
      <w:sz w:val="44"/>
      <w:szCs w:val="44"/>
    </w:rPr>
  </w:style>
  <w:style w:type="paragraph" w:styleId="4">
    <w:name w:val="heading 2"/>
    <w:basedOn w:val="1"/>
    <w:next w:val="1"/>
    <w:qFormat/>
    <w:uiPriority w:val="0"/>
    <w:pPr>
      <w:keepNext/>
      <w:keepLines/>
      <w:tabs>
        <w:tab w:val="center" w:pos="4394"/>
      </w:tabs>
      <w:spacing w:before="260" w:after="260" w:line="415" w:lineRule="auto"/>
      <w:outlineLvl w:val="1"/>
    </w:pPr>
    <w:rPr>
      <w:rFonts w:ascii="Arial" w:hAnsi="Arial" w:eastAsia="黑体"/>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szCs w:val="21"/>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rPr>
  </w:style>
  <w:style w:type="paragraph" w:styleId="7">
    <w:name w:val="footer"/>
    <w:basedOn w:val="1"/>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9">
    <w:name w:val="toc 6"/>
    <w:basedOn w:val="1"/>
    <w:next w:val="1"/>
    <w:semiHidden/>
    <w:qFormat/>
    <w:uiPriority w:val="0"/>
    <w:pPr>
      <w:ind w:left="1200"/>
      <w:jc w:val="left"/>
    </w:pPr>
    <w:rPr>
      <w:rFonts w:ascii="Calibri" w:hAnsi="Calibri" w:cs="Calibri"/>
      <w:sz w:val="18"/>
      <w:szCs w:val="18"/>
    </w:rPr>
  </w:style>
  <w:style w:type="paragraph" w:styleId="10">
    <w:name w:val="Body Text 2"/>
    <w:basedOn w:val="1"/>
    <w:next w:val="2"/>
    <w:qFormat/>
    <w:uiPriority w:val="0"/>
    <w:pPr>
      <w:spacing w:after="120" w:afterLines="0" w:line="480" w:lineRule="auto"/>
    </w:pPr>
    <w:rPr>
      <w:rFonts w:ascii="Times New Roman" w:hAnsi="Times New Roman" w:eastAsia="宋体" w:cs="Times New Roman"/>
    </w:rPr>
  </w:style>
  <w:style w:type="paragraph" w:styleId="11">
    <w:name w:val="Normal (Web)"/>
    <w:basedOn w:val="1"/>
    <w:qFormat/>
    <w:uiPriority w:val="0"/>
    <w:pPr>
      <w:spacing w:line="240" w:lineRule="auto"/>
      <w:ind w:firstLine="0" w:firstLineChars="0"/>
    </w:pPr>
    <w:rPr>
      <w:rFonts w:ascii="宋体" w:hAnsi="宋体" w:eastAsia="宋体" w:cs="宋体"/>
      <w:kern w:val="0"/>
      <w:sz w:val="24"/>
      <w:lang w:eastAsia="en-US"/>
    </w:rPr>
  </w:style>
  <w:style w:type="paragraph" w:styleId="12">
    <w:name w:val="Body Text First Indent"/>
    <w:basedOn w:val="2"/>
    <w:next w:val="13"/>
    <w:qFormat/>
    <w:uiPriority w:val="0"/>
    <w:pPr>
      <w:tabs>
        <w:tab w:val="left" w:pos="720"/>
      </w:tabs>
      <w:spacing w:after="120" w:line="312" w:lineRule="atLeast"/>
      <w:ind w:firstLine="420"/>
    </w:pPr>
    <w:rPr>
      <w:rFonts w:ascii="Times New Roman"/>
      <w:sz w:val="21"/>
    </w:rPr>
  </w:style>
  <w:style w:type="paragraph" w:styleId="13">
    <w:name w:val="Body Text First Indent 2"/>
    <w:basedOn w:val="5"/>
    <w:next w:val="1"/>
    <w:qFormat/>
    <w:uiPriority w:val="0"/>
    <w:pPr>
      <w:ind w:firstLine="420" w:firstLineChars="200"/>
    </w:pPr>
  </w:style>
  <w:style w:type="character" w:styleId="16">
    <w:name w:val="page number"/>
    <w:qFormat/>
    <w:uiPriority w:val="0"/>
  </w:style>
  <w:style w:type="paragraph" w:customStyle="1" w:styleId="17">
    <w:name w:val="Default"/>
    <w:next w:val="1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大标题"/>
    <w:basedOn w:val="1"/>
    <w:next w:val="13"/>
    <w:qFormat/>
    <w:uiPriority w:val="0"/>
    <w:pPr>
      <w:jc w:val="center"/>
    </w:pPr>
    <w:rPr>
      <w:rFonts w:ascii="Arial" w:hAnsi="Arial"/>
      <w:b/>
      <w:sz w:val="28"/>
      <w:szCs w:val="24"/>
    </w:rPr>
  </w:style>
  <w:style w:type="paragraph" w:styleId="19">
    <w:name w:val="List Paragraph"/>
    <w:basedOn w:val="1"/>
    <w:qFormat/>
    <w:uiPriority w:val="0"/>
    <w:pPr>
      <w:ind w:firstLine="420" w:firstLineChars="200"/>
    </w:pPr>
    <w:rPr>
      <w:szCs w:val="20"/>
    </w:rPr>
  </w:style>
  <w:style w:type="character" w:customStyle="1" w:styleId="20">
    <w:name w:val="font01"/>
    <w:basedOn w:val="15"/>
    <w:qFormat/>
    <w:uiPriority w:val="0"/>
    <w:rPr>
      <w:rFonts w:hint="eastAsia" w:ascii="宋体" w:hAnsi="宋体" w:eastAsia="宋体" w:cs="宋体"/>
      <w:color w:val="000000"/>
      <w:sz w:val="22"/>
      <w:szCs w:val="22"/>
      <w:u w:val="none"/>
    </w:rPr>
  </w:style>
  <w:style w:type="character" w:customStyle="1" w:styleId="21">
    <w:name w:val="font31"/>
    <w:basedOn w:val="15"/>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2368</Words>
  <Characters>2406</Characters>
  <Lines>0</Lines>
  <Paragraphs>0</Paragraphs>
  <TotalTime>15</TotalTime>
  <ScaleCrop>false</ScaleCrop>
  <LinksUpToDate>false</LinksUpToDate>
  <CharactersWithSpaces>2419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2022-10-08T07:58:00Z</dcterms:created>
  <dc:creator>Administrator</dc:creator>
  <cp:lastModifiedBy>恒</cp:lastModifiedBy>
  <dcterms:modified xsi:type="dcterms:W3CDTF">2024-10-30T07:08:21Z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EA73C04AD627434282C33E723AB8FCCE_13</vt:lpwstr>
  </property>
</Properties>
</file>