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20" w:afterLines="50" w:line="400" w:lineRule="exact"/>
        <w:ind w:firstLine="0" w:firstLineChars="0"/>
        <w:jc w:val="center"/>
        <w:outlineLvl w:val="1"/>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评标原则和办法</w:t>
      </w:r>
    </w:p>
    <w:p>
      <w:pPr>
        <w:pStyle w:val="4"/>
        <w:spacing w:after="120" w:afterLines="50" w:line="400" w:lineRule="exact"/>
        <w:ind w:firstLine="0" w:firstLineChars="0"/>
        <w:jc w:val="both"/>
        <w:outlineLvl w:val="1"/>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一、评标细则</w:t>
      </w:r>
    </w:p>
    <w:p>
      <w:pPr>
        <w:pStyle w:val="2"/>
        <w:keepNext w:val="0"/>
        <w:keepLines w:val="0"/>
        <w:pageBreakBefore w:val="0"/>
        <w:kinsoku/>
        <w:wordWrap/>
        <w:overflowPunct/>
        <w:topLinePunct w:val="0"/>
        <w:bidi w:val="0"/>
        <w:snapToGrid w:val="0"/>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经初步评审合格的谈判采购响应文件，谈判小组根据谈判采购文件确定的评标标准和方法，对其技术部分和商务部分作进一步评审与比较。</w:t>
      </w:r>
    </w:p>
    <w:p>
      <w:pPr>
        <w:pStyle w:val="2"/>
        <w:keepNext w:val="0"/>
        <w:keepLines w:val="0"/>
        <w:pageBreakBefore w:val="0"/>
        <w:kinsoku/>
        <w:wordWrap/>
        <w:overflowPunct/>
        <w:topLinePunct w:val="0"/>
        <w:bidi w:val="0"/>
        <w:snapToGrid w:val="0"/>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本次评标采用综合评分法。评标标准和内容如下：</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报价部分：A=报价评分        </w:t>
      </w:r>
      <w:r>
        <w:rPr>
          <w:rFonts w:hint="eastAsia" w:ascii="宋体" w:hAnsi="宋体" w:cs="宋体"/>
          <w:b/>
          <w:color w:val="auto"/>
          <w:sz w:val="24"/>
          <w:szCs w:val="24"/>
          <w:highlight w:val="none"/>
          <w:u w:val="single"/>
          <w:lang w:val="en-US" w:eastAsia="zh-CN"/>
        </w:rPr>
        <w:t>50</w:t>
      </w:r>
      <w:r>
        <w:rPr>
          <w:rFonts w:hint="eastAsia" w:ascii="宋体" w:hAnsi="宋体" w:eastAsia="宋体" w:cs="宋体"/>
          <w:b/>
          <w:color w:val="auto"/>
          <w:sz w:val="24"/>
          <w:szCs w:val="24"/>
          <w:highlight w:val="none"/>
        </w:rPr>
        <w:t>分，</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商务部分：B=商务评分        </w:t>
      </w:r>
      <w:r>
        <w:rPr>
          <w:rFonts w:hint="eastAsia" w:ascii="宋体" w:hAnsi="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rPr>
        <w:t>分；</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技术部分：C=技术评分        </w:t>
      </w:r>
      <w:r>
        <w:rPr>
          <w:rFonts w:hint="eastAsia" w:ascii="宋体" w:hAnsi="宋体" w:cs="宋体"/>
          <w:b/>
          <w:color w:val="auto"/>
          <w:sz w:val="24"/>
          <w:szCs w:val="24"/>
          <w:highlight w:val="none"/>
          <w:u w:val="single"/>
          <w:lang w:val="en-US" w:eastAsia="zh-CN"/>
        </w:rPr>
        <w:t>40</w:t>
      </w:r>
      <w:r>
        <w:rPr>
          <w:rFonts w:hint="eastAsia" w:ascii="宋体" w:hAnsi="宋体" w:eastAsia="宋体" w:cs="宋体"/>
          <w:b/>
          <w:color w:val="auto"/>
          <w:sz w:val="24"/>
          <w:szCs w:val="24"/>
          <w:highlight w:val="none"/>
        </w:rPr>
        <w:t>分。</w:t>
      </w:r>
    </w:p>
    <w:p>
      <w:pPr>
        <w:pStyle w:val="2"/>
        <w:keepNext w:val="0"/>
        <w:keepLines w:val="0"/>
        <w:pageBreakBefore w:val="0"/>
        <w:kinsoku/>
        <w:wordWrap/>
        <w:overflowPunct/>
        <w:topLinePunct w:val="0"/>
        <w:bidi w:val="0"/>
        <w:snapToGrid w:val="0"/>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谈判采购响应人最终实得分=A+B+C</w:t>
      </w:r>
    </w:p>
    <w:tbl>
      <w:tblPr>
        <w:tblStyle w:val="5"/>
        <w:tblpPr w:leftFromText="180" w:rightFromText="180" w:vertAnchor="text" w:horzAnchor="page" w:tblpX="767" w:tblpY="435"/>
        <w:tblOverlap w:val="never"/>
        <w:tblW w:w="10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305"/>
        <w:gridCol w:w="1552"/>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0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eastAsia="zh-CN"/>
              </w:rPr>
              <w:t>）</w:t>
            </w:r>
          </w:p>
        </w:tc>
        <w:tc>
          <w:tcPr>
            <w:tcW w:w="130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评标基准价计算方法</w:t>
            </w:r>
          </w:p>
        </w:tc>
        <w:tc>
          <w:tcPr>
            <w:tcW w:w="6705"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1.评标委员会按采购文件要求对响应文件的资格性检查和符合性检查等逐一进行评审。经审查不符合采购文件要求的，不再进入详细评审阶段。</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2.评标基准价为：有效响应报价的算术平均值；</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3.有效响应报价的算术平均值的计算方法：</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（1）当有效响应报价家数在7家（不含7家）以下时，有效响应报价的算术平均值（B值）=各有效响应报价的算术平均值；</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（2）当有效响应报价家数在7家（含7家）以上时且少于10家时，有效响应报价的算术平均值（B值）=各有效响应报价去掉一个最高报价及一个最低报价后的算术平均值。</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（3）当有效响应报价家数在10家（含10家）以上时，有效响应报价的算术平均值（B值）=各有效响应报价去掉两个最高报价及两个最低报价后的算术平均值。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响应报价</w:t>
            </w:r>
            <w:r>
              <w:rPr>
                <w:rFonts w:hint="eastAsia" w:ascii="宋体" w:hAnsi="宋体" w:eastAsia="宋体" w:cs="宋体"/>
                <w:color w:val="auto"/>
                <w:kern w:val="2"/>
                <w:sz w:val="24"/>
                <w:szCs w:val="24"/>
                <w:highlight w:val="none"/>
              </w:rPr>
              <w:t>的偏差率计算公式</w:t>
            </w:r>
          </w:p>
        </w:tc>
        <w:tc>
          <w:tcPr>
            <w:tcW w:w="6705"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21" w:leftChars="10" w:right="21" w:rightChars="10"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偏差率=100%×（</w:t>
            </w:r>
            <w:r>
              <w:rPr>
                <w:rFonts w:hint="eastAsia" w:ascii="宋体" w:hAnsi="宋体" w:eastAsia="宋体" w:cs="宋体"/>
                <w:color w:val="auto"/>
                <w:kern w:val="2"/>
                <w:sz w:val="24"/>
                <w:szCs w:val="24"/>
                <w:highlight w:val="none"/>
                <w:lang w:val="en-US" w:eastAsia="zh-CN"/>
              </w:rPr>
              <w:t>有效</w:t>
            </w:r>
            <w:r>
              <w:rPr>
                <w:rFonts w:hint="eastAsia" w:ascii="宋体" w:hAnsi="宋体" w:eastAsia="宋体" w:cs="宋体"/>
                <w:color w:val="auto"/>
                <w:kern w:val="2"/>
                <w:sz w:val="24"/>
                <w:szCs w:val="24"/>
                <w:highlight w:val="none"/>
                <w:lang w:eastAsia="zh-CN"/>
              </w:rPr>
              <w:t>响应报价</w:t>
            </w:r>
            <w:r>
              <w:rPr>
                <w:rFonts w:hint="eastAsia" w:ascii="宋体" w:hAnsi="宋体" w:eastAsia="宋体" w:cs="宋体"/>
                <w:color w:val="auto"/>
                <w:kern w:val="2"/>
                <w:sz w:val="24"/>
                <w:szCs w:val="24"/>
                <w:highlight w:val="none"/>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670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响应报价</w:t>
            </w:r>
            <w:r>
              <w:rPr>
                <w:rFonts w:hint="eastAsia" w:ascii="宋体" w:hAnsi="宋体" w:eastAsia="宋体" w:cs="宋体"/>
                <w:color w:val="auto"/>
                <w:kern w:val="2"/>
                <w:sz w:val="24"/>
                <w:szCs w:val="24"/>
                <w:highlight w:val="none"/>
              </w:rPr>
              <w:t>与评标基准价相等得基本分</w:t>
            </w:r>
            <w:r>
              <w:rPr>
                <w:rFonts w:hint="eastAsia" w:ascii="宋体" w:hAnsi="宋体" w:eastAsia="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w:t>
            </w:r>
            <w:r>
              <w:rPr>
                <w:rFonts w:hint="eastAsia" w:ascii="宋体" w:hAnsi="宋体" w:eastAsia="宋体" w:cs="宋体"/>
                <w:color w:val="auto"/>
                <w:kern w:val="2"/>
                <w:sz w:val="24"/>
                <w:szCs w:val="24"/>
                <w:highlight w:val="none"/>
                <w:lang w:eastAsia="zh-CN"/>
              </w:rPr>
              <w:t>响应报价</w:t>
            </w:r>
            <w:r>
              <w:rPr>
                <w:rFonts w:hint="eastAsia" w:ascii="宋体" w:hAnsi="宋体" w:eastAsia="宋体" w:cs="宋体"/>
                <w:color w:val="auto"/>
                <w:kern w:val="2"/>
                <w:sz w:val="24"/>
                <w:szCs w:val="24"/>
                <w:highlight w:val="none"/>
              </w:rPr>
              <w:t>低于评标基准价时，</w:t>
            </w:r>
            <w:r>
              <w:rPr>
                <w:rFonts w:hint="eastAsia" w:ascii="宋体" w:hAnsi="宋体" w:eastAsia="宋体" w:cs="宋体"/>
                <w:color w:val="auto"/>
                <w:kern w:val="2"/>
                <w:sz w:val="24"/>
                <w:szCs w:val="24"/>
                <w:highlight w:val="none"/>
                <w:lang w:eastAsia="zh-CN"/>
              </w:rPr>
              <w:t>按</w:t>
            </w:r>
            <w:r>
              <w:rPr>
                <w:rFonts w:hint="eastAsia" w:ascii="宋体" w:hAnsi="宋体" w:eastAsia="宋体" w:cs="宋体"/>
                <w:color w:val="auto"/>
                <w:kern w:val="2"/>
                <w:sz w:val="24"/>
                <w:szCs w:val="24"/>
                <w:highlight w:val="none"/>
              </w:rPr>
              <w:t>每低1%在基本分</w:t>
            </w:r>
            <w:r>
              <w:rPr>
                <w:rFonts w:hint="eastAsia" w:ascii="宋体" w:hAnsi="宋体" w:eastAsia="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分的基础上加0.5分</w:t>
            </w:r>
            <w:r>
              <w:rPr>
                <w:rFonts w:hint="eastAsia" w:ascii="宋体" w:hAnsi="宋体" w:eastAsia="宋体" w:cs="宋体"/>
                <w:color w:val="auto"/>
                <w:kern w:val="2"/>
                <w:sz w:val="24"/>
                <w:szCs w:val="24"/>
                <w:highlight w:val="none"/>
                <w:lang w:eastAsia="zh-CN"/>
              </w:rPr>
              <w:t>的比例加分</w:t>
            </w:r>
            <w:r>
              <w:rPr>
                <w:rFonts w:hint="eastAsia" w:ascii="宋体" w:hAnsi="宋体" w:eastAsia="宋体" w:cs="宋体"/>
                <w:color w:val="auto"/>
                <w:kern w:val="2"/>
                <w:sz w:val="24"/>
                <w:szCs w:val="24"/>
                <w:highlight w:val="none"/>
              </w:rPr>
              <w:t>，最多加5分；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低于评标基准价10%（不含10%）</w:t>
            </w:r>
            <w:r>
              <w:rPr>
                <w:rFonts w:hint="eastAsia" w:ascii="宋体" w:hAnsi="宋体" w:eastAsia="宋体" w:cs="宋体"/>
                <w:color w:val="auto"/>
                <w:kern w:val="2"/>
                <w:sz w:val="24"/>
                <w:szCs w:val="24"/>
                <w:highlight w:val="none"/>
                <w:lang w:eastAsia="zh-CN"/>
              </w:rPr>
              <w:t>时</w:t>
            </w:r>
            <w:r>
              <w:rPr>
                <w:rFonts w:hint="eastAsia" w:ascii="宋体" w:hAnsi="宋体" w:eastAsia="宋体" w:cs="宋体"/>
                <w:color w:val="auto"/>
                <w:kern w:val="2"/>
                <w:sz w:val="24"/>
                <w:szCs w:val="24"/>
                <w:highlight w:val="none"/>
              </w:rPr>
              <w:t>，按每再低1%在满分</w:t>
            </w:r>
            <w:r>
              <w:rPr>
                <w:rFonts w:hint="eastAsia" w:ascii="宋体" w:hAnsi="宋体" w:eastAsia="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分基础上扣</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的比例扣分</w:t>
            </w:r>
            <w:r>
              <w:rPr>
                <w:rFonts w:hint="eastAsia" w:ascii="宋体" w:hAnsi="宋体" w:eastAsia="宋体" w:cs="宋体"/>
                <w:color w:val="auto"/>
                <w:kern w:val="2"/>
                <w:sz w:val="24"/>
                <w:szCs w:val="24"/>
                <w:highlight w:val="none"/>
              </w:rPr>
              <w:t>，最多扣</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当</w:t>
            </w:r>
            <w:r>
              <w:rPr>
                <w:rFonts w:hint="eastAsia" w:ascii="宋体" w:hAnsi="宋体" w:eastAsia="宋体" w:cs="宋体"/>
                <w:color w:val="auto"/>
                <w:kern w:val="2"/>
                <w:sz w:val="24"/>
                <w:szCs w:val="24"/>
                <w:highlight w:val="none"/>
                <w:lang w:eastAsia="zh-CN"/>
              </w:rPr>
              <w:t>响应报价</w:t>
            </w:r>
            <w:r>
              <w:rPr>
                <w:rFonts w:hint="eastAsia" w:ascii="宋体" w:hAnsi="宋体" w:eastAsia="宋体" w:cs="宋体"/>
                <w:color w:val="auto"/>
                <w:kern w:val="2"/>
                <w:sz w:val="24"/>
                <w:szCs w:val="24"/>
                <w:highlight w:val="none"/>
              </w:rPr>
              <w:t>高于评标基准价时，</w:t>
            </w:r>
            <w:r>
              <w:rPr>
                <w:rFonts w:hint="eastAsia" w:ascii="宋体" w:hAnsi="宋体" w:cs="宋体"/>
                <w:color w:val="auto"/>
                <w:kern w:val="2"/>
                <w:sz w:val="24"/>
                <w:szCs w:val="24"/>
                <w:highlight w:val="none"/>
                <w:lang w:eastAsia="zh-CN"/>
              </w:rPr>
              <w:t>按</w:t>
            </w:r>
            <w:r>
              <w:rPr>
                <w:rFonts w:hint="eastAsia" w:ascii="宋体" w:hAnsi="宋体" w:eastAsia="宋体" w:cs="宋体"/>
                <w:color w:val="auto"/>
                <w:kern w:val="2"/>
                <w:sz w:val="24"/>
                <w:szCs w:val="24"/>
                <w:highlight w:val="none"/>
              </w:rPr>
              <w:t>每高1%在基本分</w:t>
            </w:r>
            <w:r>
              <w:rPr>
                <w:rFonts w:hint="eastAsia" w:ascii="宋体" w:hAnsi="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分的基础上扣1分</w:t>
            </w:r>
            <w:r>
              <w:rPr>
                <w:rFonts w:hint="eastAsia" w:ascii="宋体" w:hAnsi="宋体" w:cs="宋体"/>
                <w:color w:val="auto"/>
                <w:kern w:val="2"/>
                <w:sz w:val="24"/>
                <w:szCs w:val="24"/>
                <w:highlight w:val="none"/>
                <w:lang w:eastAsia="zh-CN"/>
              </w:rPr>
              <w:t>的比例扣分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最多扣10分</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w:t>
            </w:r>
          </w:p>
        </w:tc>
        <w:tc>
          <w:tcPr>
            <w:tcW w:w="130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bookmarkStart w:id="0" w:name="OLE_LINK1"/>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年01月01日（以合同签订时间为准）至今：每提供1项单个合同金额不少于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万元人民币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资格项除外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类似项目</w:t>
            </w:r>
            <w:r>
              <w:rPr>
                <w:rFonts w:hint="eastAsia" w:ascii="宋体" w:hAnsi="宋体" w:eastAsia="宋体" w:cs="宋体"/>
                <w:color w:val="auto"/>
                <w:sz w:val="24"/>
                <w:szCs w:val="24"/>
                <w:highlight w:val="none"/>
              </w:rPr>
              <w:t>业绩得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bookmarkEnd w:id="0"/>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注：须提供证明业绩的</w:t>
            </w:r>
            <w:r>
              <w:rPr>
                <w:rFonts w:hint="eastAsia" w:ascii="宋体" w:hAnsi="宋体" w:cs="宋体"/>
                <w:b/>
                <w:color w:val="auto"/>
                <w:sz w:val="24"/>
                <w:szCs w:val="24"/>
                <w:highlight w:val="none"/>
                <w:lang w:eastAsia="zh-CN"/>
              </w:rPr>
              <w:t>中标通知书或</w:t>
            </w:r>
            <w:r>
              <w:rPr>
                <w:rFonts w:hint="eastAsia" w:ascii="宋体" w:hAnsi="宋体" w:eastAsia="宋体" w:cs="宋体"/>
                <w:b/>
                <w:color w:val="auto"/>
                <w:sz w:val="24"/>
                <w:szCs w:val="24"/>
                <w:highlight w:val="none"/>
              </w:rPr>
              <w:t>合同扫描件，内容不能体现合同金额的，应提供结算单等其它能证明合同金额的文件，不能提供不得分。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项目经理业绩（2分）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拟聘用项目经理20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年01月01日以来（以合同签订时间为准）有</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（单个合同额</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0万元及以上）的项目经理业绩，每个项目得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分，最多得2分。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注：须提供业绩合同、业主证明等相关证明材料的扫描件，不能提供不得分。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标书响应情况（</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根据标书响应情况进行评价，主要针对标书的响应程度，以及标书的完整性、规范性和有关技术支撑材料详实程度等，酌情得0-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w:t>
            </w:r>
          </w:p>
        </w:tc>
        <w:tc>
          <w:tcPr>
            <w:tcW w:w="130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总体施工方案及施工组织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zh-CN"/>
              </w:rPr>
            </w:pPr>
            <w:bookmarkStart w:id="1" w:name="OLE_LINK2"/>
            <w:r>
              <w:rPr>
                <w:rFonts w:hint="eastAsia" w:ascii="宋体" w:hAnsi="宋体" w:eastAsia="宋体" w:cs="宋体"/>
                <w:color w:val="auto"/>
                <w:sz w:val="24"/>
                <w:szCs w:val="24"/>
                <w:highlight w:val="none"/>
              </w:rPr>
              <w:t>整体施工方案和施工方法科学合理，根据施工总体方案的完整性、可行性，施工工序、施工流程和施工工艺的可靠性、先进性、合理性等进行横向比较，“一般”得0-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分；“优”得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关键技术方案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根据关键的、重点、难点的施工技术方案的完善、科学、合理情况进行横向比较，“一般”得0-2分；“良”得2-4分；“优”得4-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施工前准备及工器具和材料配备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zh-CN"/>
              </w:rPr>
            </w:pPr>
            <w:bookmarkStart w:id="2" w:name="OLE_LINK3"/>
            <w:r>
              <w:rPr>
                <w:rFonts w:hint="eastAsia" w:ascii="宋体" w:hAnsi="宋体" w:eastAsia="宋体" w:cs="宋体"/>
                <w:color w:val="auto"/>
                <w:sz w:val="24"/>
                <w:szCs w:val="24"/>
                <w:highlight w:val="none"/>
              </w:rPr>
              <w:t>施工前准备工作安排合理、完善，工器具和消耗性材料配置齐全，符合或优于技术规范书要求。针对施工前准备工作安排的符合性、合理性和完善性，工器具和消耗性材料配置齐全程度进行横向比较，“一般”得0-2分；“良”得2-4分；“优”得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项目质量管理与控制（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有合理完善的作业目标、质量保证措施，并符合本次施工实际需要。根据项目质量管理方案是否内容全面完整、措施有效、质量控制机构健全、职责明确等情况进行横向比较，“一般”得0-2分；“良”得2-4分；“优”得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项目进度管理与控制（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完善合理的供货、施工工期进度控制措施和网络进度计划，安排合理。根据项目进度管理方案内容的全面性、进度计划的科学合理性、进度控制措施的完善有效性，以及里程碑是否明确、工期计划是否满足采购文件的要求等情况进行横向比较，“一般”得0-2分；“良”得2-4分；“优”得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color w:val="auto"/>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color w:val="auto"/>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项目HSE管理与控制（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文明生产控制措施完善，符合技术规范书要求。根据项目HSE组织机构健全程度、职责是否明确、HSE风险识别及控制措施的全面有效性、HSE风险控制计划书的完善及可操作性、环境保护措施是否符合采购文件要求等情况。进行横向比较，“一般”得0-2分；“良”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分；“优”得4-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color w:val="auto"/>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color w:val="auto"/>
              </w:rPr>
            </w:pPr>
          </w:p>
        </w:tc>
        <w:tc>
          <w:tcPr>
            <w:tcW w:w="15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项目管理组织机构（5分）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根据项目管理组织机构部门设置齐全性、人员配置完整性、组织机构图架构清晰性、项目负责人具有</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项目管理经验等情况进行横向比较，“一般”得0-2分；“良”得2-4分；“优”得4-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825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以上评标内容，缺项则该项得0分。</w:t>
            </w:r>
          </w:p>
        </w:tc>
      </w:tr>
    </w:tbl>
    <w:p>
      <w:pPr>
        <w:pStyle w:val="4"/>
        <w:spacing w:after="120" w:afterLines="50" w:line="400" w:lineRule="exact"/>
        <w:ind w:firstLine="0" w:firstLineChars="0"/>
        <w:jc w:val="both"/>
        <w:outlineLvl w:val="1"/>
        <w:rPr>
          <w:rFonts w:hint="eastAsia" w:ascii="宋体" w:hAnsi="宋体" w:eastAsia="宋体" w:cs="Times New Roman"/>
          <w:b/>
          <w:bCs/>
          <w:kern w:val="2"/>
          <w:sz w:val="22"/>
          <w:szCs w:val="22"/>
          <w:lang w:val="en-US" w:eastAsia="zh-CN" w:bidi="ar-SA"/>
        </w:rPr>
      </w:pPr>
    </w:p>
    <w:p>
      <w:pPr>
        <w:pStyle w:val="4"/>
        <w:spacing w:after="120" w:afterLines="50" w:line="400" w:lineRule="exact"/>
        <w:ind w:firstLine="0" w:firstLineChars="0"/>
        <w:jc w:val="both"/>
        <w:outlineLvl w:val="1"/>
        <w:rPr>
          <w:rFonts w:hint="default"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二、评分计算</w:t>
      </w:r>
    </w:p>
    <w:p>
      <w:pPr>
        <w:adjustRightInd w:val="0"/>
        <w:snapToGrid w:val="0"/>
        <w:spacing w:line="360" w:lineRule="auto"/>
        <w:ind w:firstLine="420" w:firstLineChars="200"/>
        <w:rPr>
          <w:rFonts w:hint="eastAsia" w:ascii="宋体" w:hAnsi="宋体" w:eastAsia="宋体" w:cs="Times New Roman"/>
          <w:color w:val="000000"/>
          <w:szCs w:val="21"/>
        </w:rPr>
      </w:pPr>
      <w:r>
        <w:rPr>
          <w:rFonts w:hint="eastAsia" w:ascii="宋体" w:hAnsi="宋体"/>
          <w:color w:val="000000"/>
          <w:szCs w:val="21"/>
          <w:lang w:val="en-US" w:eastAsia="zh-CN"/>
        </w:rPr>
        <w:t>1.</w:t>
      </w:r>
      <w:r>
        <w:rPr>
          <w:rFonts w:hint="eastAsia" w:ascii="宋体" w:hAnsi="宋体" w:eastAsia="宋体" w:cs="Times New Roman"/>
          <w:color w:val="000000"/>
          <w:szCs w:val="21"/>
        </w:rPr>
        <w:t>报价为无效报价或未通过初步评审的响应文件不进行详细评审及综合评分。</w:t>
      </w:r>
    </w:p>
    <w:p>
      <w:pPr>
        <w:adjustRightInd w:val="0"/>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.技术部分如果缺项，则对应项不得分。</w:t>
      </w:r>
    </w:p>
    <w:p>
      <w:pPr>
        <w:adjustRightInd w:val="0"/>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.商务部分中除资格要求条件外，响应文件中未附相关人员配备、证书或证明材料复印件或扫描件，视为未提供，对应项不得分，响应文件不视为无效文件。</w:t>
      </w:r>
    </w:p>
    <w:p>
      <w:pPr>
        <w:adjustRightInd w:val="0"/>
        <w:snapToGrid w:val="0"/>
        <w:spacing w:line="360" w:lineRule="auto"/>
        <w:ind w:firstLine="420" w:firstLineChars="200"/>
        <w:rPr>
          <w:rFonts w:hint="eastAsia" w:ascii="宋体" w:hAnsi="宋体"/>
          <w:color w:val="000000"/>
          <w:szCs w:val="21"/>
        </w:rPr>
      </w:pPr>
      <w:r>
        <w:rPr>
          <w:rFonts w:hint="eastAsia" w:ascii="宋体" w:hAnsi="宋体" w:eastAsia="宋体" w:cs="Times New Roman"/>
          <w:color w:val="000000"/>
          <w:szCs w:val="21"/>
          <w:lang w:val="en-US" w:eastAsia="zh-CN"/>
        </w:rPr>
        <w:t>4.</w:t>
      </w:r>
      <w:r>
        <w:rPr>
          <w:rFonts w:hint="eastAsia" w:ascii="宋体" w:hAnsi="宋体"/>
          <w:color w:val="000000"/>
          <w:szCs w:val="21"/>
        </w:rPr>
        <w:t>谈判小组根据评标原则和办法对所有谈判采购文件进行集中审核， 所有评委打分的算术平均值作为该谈判采购响应人的最终得分</w:t>
      </w:r>
      <w:r>
        <w:rPr>
          <w:rFonts w:hint="eastAsia" w:ascii="宋体" w:hAnsi="宋体"/>
          <w:color w:val="000000"/>
          <w:szCs w:val="21"/>
          <w:lang w:eastAsia="zh-CN"/>
        </w:rPr>
        <w:t>；</w:t>
      </w:r>
      <w:r>
        <w:rPr>
          <w:rFonts w:hint="eastAsia" w:ascii="宋体" w:hAnsi="宋体"/>
          <w:color w:val="000000"/>
          <w:szCs w:val="21"/>
          <w:lang w:val="en-US" w:eastAsia="zh-CN"/>
        </w:rPr>
        <w:t>各评分因素分值精确</w:t>
      </w:r>
      <w:r>
        <w:rPr>
          <w:rFonts w:hint="eastAsia" w:ascii="宋体" w:hAnsi="宋体"/>
          <w:color w:val="000000"/>
          <w:szCs w:val="21"/>
        </w:rPr>
        <w:t>至小数点后二位</w:t>
      </w:r>
      <w:r>
        <w:rPr>
          <w:rFonts w:hint="eastAsia" w:ascii="宋体" w:hAnsi="宋体"/>
          <w:color w:val="000000"/>
          <w:szCs w:val="21"/>
          <w:lang w:eastAsia="zh-CN"/>
        </w:rPr>
        <w:t>（</w:t>
      </w:r>
      <w:r>
        <w:rPr>
          <w:rFonts w:hint="eastAsia" w:ascii="宋体" w:hAnsi="宋体"/>
          <w:color w:val="000000"/>
          <w:szCs w:val="21"/>
          <w:lang w:val="en-US" w:eastAsia="zh-CN"/>
        </w:rPr>
        <w:t>四舍五入）</w:t>
      </w:r>
      <w:r>
        <w:rPr>
          <w:rFonts w:hint="eastAsia" w:ascii="宋体" w:hAnsi="宋体"/>
          <w:color w:val="000000"/>
          <w:szCs w:val="21"/>
        </w:rPr>
        <w:t>。</w:t>
      </w:r>
    </w:p>
    <w:p>
      <w:pPr>
        <w:adjustRightInd w:val="0"/>
        <w:snapToGrid w:val="0"/>
        <w:spacing w:line="360" w:lineRule="auto"/>
        <w:ind w:firstLine="420" w:firstLineChars="200"/>
        <w:rPr>
          <w:rFonts w:hint="eastAsia" w:ascii="宋体" w:hAnsi="宋体" w:eastAsia="宋体" w:cs="Times New Roman"/>
          <w:color w:val="000000"/>
          <w:szCs w:val="21"/>
        </w:rPr>
      </w:pPr>
      <w:r>
        <w:rPr>
          <w:rFonts w:hint="eastAsia" w:ascii="宋体" w:hAnsi="宋体"/>
          <w:color w:val="000000"/>
          <w:szCs w:val="21"/>
          <w:lang w:val="en-US" w:eastAsia="zh-CN"/>
        </w:rPr>
        <w:t>5.</w:t>
      </w:r>
      <w:r>
        <w:rPr>
          <w:rFonts w:hint="eastAsia" w:ascii="宋体" w:hAnsi="宋体"/>
          <w:szCs w:val="21"/>
        </w:rPr>
        <w:t>根据各谈判采购响应人的最终得分从高到低排出顺序，向采购人提交评标报告并按序</w:t>
      </w:r>
      <w:r>
        <w:rPr>
          <w:rFonts w:hint="eastAsia" w:ascii="宋体" w:hAnsi="宋体" w:eastAsia="宋体" w:cs="Times New Roman"/>
          <w:color w:val="000000"/>
          <w:szCs w:val="21"/>
        </w:rPr>
        <w:t>推荐。若两个谈判采购响应人得分相同时，谈判价格低者排名靠前。</w:t>
      </w:r>
    </w:p>
    <w:p>
      <w:pPr>
        <w:rPr>
          <w:rFonts w:hint="eastAsia"/>
        </w:rPr>
      </w:pPr>
    </w:p>
    <w:p>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MWExMTJlOWI2YWJjZmZhN2M5NzhlNGJlYzJhYmEifQ=="/>
  </w:docVars>
  <w:rsids>
    <w:rsidRoot w:val="00000000"/>
    <w:rsid w:val="2BDC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tabs>
        <w:tab w:val="left" w:pos="720"/>
      </w:tabs>
      <w:adjustRightInd w:val="0"/>
      <w:spacing w:line="360" w:lineRule="auto"/>
      <w:textAlignment w:val="baseline"/>
    </w:pPr>
    <w:rPr>
      <w:rFonts w:ascii="宋体"/>
      <w:sz w:val="28"/>
      <w:szCs w:val="20"/>
    </w:rPr>
  </w:style>
  <w:style w:type="paragraph" w:customStyle="1" w:styleId="3">
    <w:name w:val="段"/>
    <w:basedOn w:val="1"/>
    <w:next w:val="1"/>
    <w:qFormat/>
    <w:uiPriority w:val="0"/>
    <w:pPr>
      <w:autoSpaceDE w:val="0"/>
      <w:autoSpaceDN w:val="0"/>
      <w:ind w:firstLine="200" w:firstLineChars="200"/>
    </w:pPr>
    <w:rPr>
      <w:rFonts w:ascii="宋体"/>
    </w:rPr>
  </w:style>
  <w:style w:type="paragraph" w:styleId="4">
    <w:name w:val="Plain Text"/>
    <w:basedOn w:val="1"/>
    <w:qFormat/>
    <w:uiPriority w:val="0"/>
    <w:rPr>
      <w:rFonts w:hAnsi="Courier New" w:eastAsia="仿宋_GB2312" w:cs="Times New Roman"/>
      <w:sz w:val="21"/>
      <w:szCs w:val="22"/>
    </w:rPr>
  </w:style>
  <w:style w:type="paragraph" w:customStyle="1" w:styleId="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2024-10-24T06:56:05Z</dcterms:created>
  <dc:creator>123</dc:creator>
  <cp:lastModifiedBy>张存</cp:lastModifiedBy>
  <dcterms:modified xsi:type="dcterms:W3CDTF">2024-10-24T06:57:14Z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93B7A8DE52C0415096E2E212063146A4_12</vt:lpwstr>
  </property>
</Properties>
</file>