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kern w:val="44"/>
          <w:sz w:val="44"/>
          <w:szCs w:val="44"/>
          <w:lang w:eastAsia="zh-CN"/>
        </w:rPr>
        <w:t>双氧水</w:t>
      </w:r>
      <w:r>
        <w:rPr>
          <w:rFonts w:hint="eastAsia"/>
          <w:b/>
          <w:bCs/>
          <w:kern w:val="44"/>
          <w:sz w:val="44"/>
          <w:szCs w:val="44"/>
        </w:rPr>
        <w:t>购销合同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供  方：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hint="eastAsia" w:ascii="宋体" w:hAnsi="宋体"/>
          <w:b/>
          <w:sz w:val="24"/>
        </w:rPr>
        <w:t xml:space="preserve">        签订地点：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需  方：</w:t>
      </w:r>
      <w:r>
        <w:rPr>
          <w:rFonts w:hint="eastAsia" w:ascii="宋体" w:hAnsi="宋体"/>
          <w:sz w:val="24"/>
          <w:u w:val="single"/>
          <w:lang w:eastAsia="zh-CN"/>
        </w:rPr>
        <w:t>驻马店市白云纸业有限公司</w:t>
      </w:r>
      <w:r>
        <w:rPr>
          <w:rFonts w:hint="eastAsia" w:ascii="宋体" w:hAnsi="宋体"/>
          <w:sz w:val="24"/>
        </w:rPr>
        <w:t xml:space="preserve">　　              </w:t>
      </w:r>
      <w:r>
        <w:rPr>
          <w:rFonts w:hint="eastAsia" w:ascii="宋体" w:hAnsi="宋体"/>
          <w:b/>
          <w:sz w:val="24"/>
        </w:rPr>
        <w:t>签订时间：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>供需双方通过平等协商，本着诚实守信、互惠互利、双方自愿的原则达成一致意见，同意签订本合同，具体条款如下：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</w:rPr>
        <w:t>一、标的物名称、规格型号、数量、价款</w:t>
      </w:r>
      <w:r>
        <w:rPr>
          <w:rFonts w:hint="eastAsia" w:ascii="宋体" w:hAnsi="宋体"/>
          <w:sz w:val="24"/>
        </w:rPr>
        <w:t>：</w:t>
      </w:r>
    </w:p>
    <w:tbl>
      <w:tblPr>
        <w:tblStyle w:val="7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10"/>
        <w:gridCol w:w="1845"/>
        <w:gridCol w:w="1860"/>
        <w:gridCol w:w="1544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产品名称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规格型号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数量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单价（元/吨）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总金额（元）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双氧水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罐装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47吨/周（以需方实际需求为准）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提供13%增值税发票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一票制到厂价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二、消耗承诺：</w:t>
      </w:r>
      <w:r>
        <w:rPr>
          <w:rFonts w:hint="eastAsia" w:asciiTheme="minorEastAsia" w:hAnsiTheme="minorEastAsia" w:eastAsiaTheme="minorEastAsia"/>
          <w:sz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</w:rPr>
        <w:t xml:space="preserve">无 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 w:val="24"/>
        </w:rPr>
        <w:t>、质量标准：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  <w:u w:val="single"/>
        </w:rPr>
        <w:t>工业过氧化氢质量技术标准（参考 GB/T1616-2014)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  <w:u w:val="single"/>
        </w:rPr>
        <w:t xml:space="preserve">过氧化氢的质量分数：≥27.5%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  <w:u w:val="single"/>
        </w:rPr>
        <w:t>游离酸（以 H</w:t>
      </w:r>
      <w:r>
        <w:rPr>
          <w:rFonts w:hint="eastAsia" w:asciiTheme="minorEastAsia" w:hAnsiTheme="minorEastAsia" w:eastAsiaTheme="minorEastAsia"/>
          <w:sz w:val="24"/>
          <w:u w:val="single"/>
          <w:vertAlign w:val="subscript"/>
        </w:rPr>
        <w:t>2</w:t>
      </w:r>
      <w:r>
        <w:rPr>
          <w:rFonts w:hint="eastAsia" w:asciiTheme="minorEastAsia" w:hAnsiTheme="minorEastAsia" w:eastAsiaTheme="minorEastAsia"/>
          <w:sz w:val="24"/>
          <w:u w:val="single"/>
        </w:rPr>
        <w:t>SO</w:t>
      </w:r>
      <w:r>
        <w:rPr>
          <w:rFonts w:hint="eastAsia" w:asciiTheme="minorEastAsia" w:hAnsiTheme="minorEastAsia" w:eastAsiaTheme="minorEastAsia"/>
          <w:sz w:val="24"/>
          <w:u w:val="single"/>
          <w:vertAlign w:val="subscript"/>
        </w:rPr>
        <w:t>4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计）的质量分数：≤0.050%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  <w:u w:val="single"/>
        </w:rPr>
        <w:t xml:space="preserve">稳定度：≥90%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  <w:u w:val="single"/>
        </w:rPr>
        <w:t>密度（20℃/g/ml）： 1.1-1.2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备注：过氧化氢的质量分数2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6.5</w:t>
      </w:r>
      <w:r>
        <w:rPr>
          <w:rFonts w:hint="eastAsia" w:asciiTheme="minorEastAsia" w:hAnsiTheme="minorEastAsia" w:eastAsiaTheme="minorEastAsia"/>
          <w:sz w:val="24"/>
        </w:rPr>
        <w:t>-27.5%（含2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6.5</w:t>
      </w:r>
      <w:r>
        <w:rPr>
          <w:rFonts w:hint="eastAsia" w:asciiTheme="minorEastAsia" w:hAnsiTheme="minorEastAsia" w:eastAsiaTheme="minorEastAsia"/>
          <w:sz w:val="24"/>
        </w:rPr>
        <w:t>%）扣2吨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1.供方所提供的产品质量技术指标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不低于本合同质量标准并</w:t>
      </w:r>
      <w:r>
        <w:rPr>
          <w:rFonts w:hint="eastAsia" w:cs="宋体" w:asciiTheme="minorEastAsia" w:hAnsiTheme="minorEastAsia" w:eastAsiaTheme="minorEastAsia"/>
          <w:sz w:val="24"/>
        </w:rPr>
        <w:t>应符合需方要求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以及</w:t>
      </w:r>
      <w:r>
        <w:rPr>
          <w:rFonts w:hint="eastAsia" w:cs="宋体" w:asciiTheme="minorEastAsia" w:hAnsiTheme="minorEastAsia" w:eastAsiaTheme="minorEastAsia"/>
          <w:sz w:val="24"/>
        </w:rPr>
        <w:t>国家以及行业标准。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    2.供方实际到货的产品质量技术指标不符合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约定质量标准和</w:t>
      </w:r>
      <w:r>
        <w:rPr>
          <w:rFonts w:hint="eastAsia" w:cs="宋体" w:asciiTheme="minorEastAsia" w:hAnsiTheme="minorEastAsia" w:eastAsiaTheme="minorEastAsia"/>
          <w:sz w:val="24"/>
        </w:rPr>
        <w:t>国家以及行业标准，或低于需方要求，或不能满足需方生产工艺要求时，需方有权拒收，供方应及时予以更换，并承担由此而发生的一切费用，情节严重的，需方有权单方解除合同。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    3.若是供方产品存在质量问题，需方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验收或</w:t>
      </w:r>
      <w:r>
        <w:rPr>
          <w:rFonts w:hint="eastAsia" w:cs="宋体" w:asciiTheme="minorEastAsia" w:hAnsiTheme="minorEastAsia" w:eastAsiaTheme="minorEastAsia"/>
          <w:sz w:val="24"/>
        </w:rPr>
        <w:t>使用后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同样有权就该等质量问题要求供方更换或按合同约定承担违约责任</w:t>
      </w:r>
      <w:r>
        <w:rPr>
          <w:rFonts w:hint="eastAsia" w:cs="宋体"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 </w:t>
      </w:r>
      <w:r>
        <w:rPr>
          <w:rFonts w:cs="宋体" w:asciiTheme="minorEastAsia" w:hAnsiTheme="minorEastAsia" w:eastAsiaTheme="minorEastAsia"/>
          <w:sz w:val="24"/>
        </w:rPr>
        <w:t xml:space="preserve">   4.</w:t>
      </w:r>
      <w:r>
        <w:rPr>
          <w:rFonts w:hint="eastAsia" w:cs="宋体" w:asciiTheme="minorEastAsia" w:hAnsiTheme="minorEastAsia" w:eastAsiaTheme="minorEastAsia"/>
          <w:sz w:val="24"/>
        </w:rPr>
        <w:t>产品保质期：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 xml:space="preserve">（ </w:t>
      </w:r>
      <w:r>
        <w:rPr>
          <w:rFonts w:hint="eastAsia" w:cs="宋体" w:asciiTheme="minorEastAsia" w:hAnsiTheme="minorEastAsia" w:eastAsiaTheme="minorEastAsia"/>
          <w:sz w:val="24"/>
          <w:u w:val="single"/>
          <w:lang w:val="en-US" w:eastAsia="zh-CN"/>
        </w:rPr>
        <w:t>6</w:t>
      </w:r>
      <w:r>
        <w:rPr>
          <w:rFonts w:cs="宋体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>）</w:t>
      </w:r>
      <w:r>
        <w:rPr>
          <w:rFonts w:hint="eastAsia" w:cs="宋体" w:asciiTheme="minorEastAsia" w:hAnsiTheme="minorEastAsia" w:eastAsiaTheme="minorEastAsia"/>
          <w:sz w:val="24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sz w:val="24"/>
        </w:rPr>
        <w:t>、计量要求及包装标准：</w:t>
      </w: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罐装包装，</w:t>
      </w:r>
      <w:r>
        <w:rPr>
          <w:rFonts w:hint="eastAsia" w:asciiTheme="minorEastAsia" w:hAnsiTheme="minorEastAsia" w:eastAsiaTheme="minorEastAsia"/>
          <w:sz w:val="24"/>
        </w:rPr>
        <w:t>以需方过磅数量为准。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24"/>
        </w:rPr>
        <w:t>、检验标准：</w:t>
      </w:r>
      <w:r>
        <w:rPr>
          <w:rFonts w:hint="eastAsia" w:cs="宋体" w:asciiTheme="minorEastAsia" w:hAnsiTheme="minorEastAsia" w:eastAsiaTheme="minorEastAsia"/>
          <w:sz w:val="24"/>
        </w:rPr>
        <w:t>质量验收按本合同条款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第三条约定的质量标准</w:t>
      </w:r>
      <w:r>
        <w:rPr>
          <w:rFonts w:hint="eastAsia" w:cs="宋体" w:asciiTheme="minorEastAsia" w:hAnsiTheme="minorEastAsia" w:eastAsiaTheme="minorEastAsia"/>
          <w:sz w:val="24"/>
        </w:rPr>
        <w:t>执行并符合国家及行业标准，货物重量、数量、浓度等以需方验收结果结算。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b/>
          <w:sz w:val="24"/>
        </w:rPr>
        <w:t>、交货时间、地点：</w:t>
      </w:r>
      <w:r>
        <w:rPr>
          <w:rFonts w:hint="eastAsia" w:asciiTheme="minorEastAsia" w:hAnsiTheme="minorEastAsia" w:eastAsiaTheme="minorEastAsia"/>
          <w:sz w:val="24"/>
        </w:rPr>
        <w:t>供方接到需方订单通知（电话、书面、邮件、QQ、微信等方式）后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（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48</w:t>
      </w:r>
      <w:r>
        <w:rPr>
          <w:rFonts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</w:rPr>
        <w:t>）</w:t>
      </w:r>
      <w:r>
        <w:rPr>
          <w:rFonts w:hint="eastAsia" w:asciiTheme="minorEastAsia" w:hAnsiTheme="minorEastAsia" w:eastAsiaTheme="minorEastAsia"/>
          <w:sz w:val="24"/>
        </w:rPr>
        <w:t>小时内送至需方公司指定厂区地点，供方提供产品合格证、出厂检验报告等。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b/>
          <w:sz w:val="24"/>
        </w:rPr>
        <w:t>、货物运输：</w:t>
      </w:r>
      <w:r>
        <w:rPr>
          <w:rFonts w:hint="eastAsia" w:asciiTheme="minorEastAsia" w:hAnsiTheme="minorEastAsia" w:eastAsiaTheme="minorEastAsia"/>
          <w:sz w:val="24"/>
        </w:rPr>
        <w:t>汽运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由供方</w:t>
      </w:r>
      <w:r>
        <w:rPr>
          <w:rFonts w:hint="eastAsia" w:asciiTheme="minorEastAsia" w:hAnsiTheme="minorEastAsia" w:eastAsiaTheme="minorEastAsia"/>
          <w:sz w:val="24"/>
        </w:rPr>
        <w:t>按照国家《道路危险货物运输管理规定》执行（若属危险品）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并自行组织运输</w:t>
      </w:r>
      <w:r>
        <w:rPr>
          <w:rFonts w:hint="eastAsia" w:asciiTheme="minorEastAsia" w:hAnsiTheme="minorEastAsia" w:eastAsiaTheme="minorEastAsia"/>
          <w:sz w:val="24"/>
        </w:rPr>
        <w:t>，运费供方承担。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b/>
          <w:sz w:val="24"/>
        </w:rPr>
        <w:t>、结算依据及方式：</w:t>
      </w:r>
      <w:r>
        <w:rPr>
          <w:rFonts w:hint="eastAsia" w:asciiTheme="minorEastAsia" w:hAnsiTheme="minorEastAsia" w:eastAsiaTheme="minorEastAsia"/>
          <w:sz w:val="24"/>
        </w:rPr>
        <w:t>凭采购合同、</w:t>
      </w:r>
      <w:r>
        <w:rPr>
          <w:rFonts w:asciiTheme="minorEastAsia" w:hAnsiTheme="minorEastAsia" w:eastAsiaTheme="minorEastAsia"/>
          <w:sz w:val="24"/>
        </w:rPr>
        <w:t>13%</w:t>
      </w:r>
      <w:r>
        <w:rPr>
          <w:rFonts w:hint="eastAsia" w:asciiTheme="minorEastAsia" w:hAnsiTheme="minorEastAsia" w:eastAsiaTheme="minorEastAsia"/>
          <w:sz w:val="24"/>
        </w:rPr>
        <w:t>增值税专用发票（一票制）、需方验收的具实数据、需方出具的验收合格报告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在</w:t>
      </w:r>
      <w:r>
        <w:rPr>
          <w:rFonts w:hint="eastAsia" w:asciiTheme="minorEastAsia" w:hAnsiTheme="minorEastAsia" w:eastAsiaTheme="minorEastAsia"/>
          <w:sz w:val="24"/>
        </w:rPr>
        <w:t>没有违反本合同的约定条款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情况下，向需方申请结算</w:t>
      </w:r>
      <w:r>
        <w:rPr>
          <w:rFonts w:hint="eastAsia" w:asciiTheme="minorEastAsia" w:hAnsiTheme="minorEastAsia" w:eastAsiaTheme="minorEastAsia"/>
          <w:sz w:val="24"/>
        </w:rPr>
        <w:t>。付款方式为</w:t>
      </w:r>
      <w:r>
        <w:rPr>
          <w:rFonts w:hint="eastAsia" w:asciiTheme="minorEastAsia" w:hAnsiTheme="minorEastAsia" w:eastAsiaTheme="minorEastAsia"/>
          <w:sz w:val="24"/>
          <w:lang w:eastAsia="zh-CN"/>
        </w:rPr>
        <w:t>月结，以</w:t>
      </w:r>
      <w:r>
        <w:rPr>
          <w:rFonts w:hint="eastAsia" w:asciiTheme="minorEastAsia" w:hAnsiTheme="minorEastAsia" w:eastAsiaTheme="minorEastAsia"/>
          <w:sz w:val="24"/>
        </w:rPr>
        <w:t>六个月内银行承兑支付。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b/>
          <w:sz w:val="24"/>
        </w:rPr>
        <w:t>、履约保证金：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</w:rPr>
        <w:t>一次性或间断性供货，按到货总额的1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%作为履约保证金，使用没问题的情况下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（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1</w:t>
      </w:r>
      <w:r>
        <w:rPr>
          <w:rFonts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</w:rPr>
        <w:t>）</w:t>
      </w:r>
      <w:r>
        <w:rPr>
          <w:rFonts w:hint="eastAsia" w:asciiTheme="minorEastAsia" w:hAnsiTheme="minorEastAsia" w:eastAsiaTheme="minorEastAsia"/>
          <w:sz w:val="24"/>
        </w:rPr>
        <w:t>月后付清。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十、违约责任：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>1、</w:t>
      </w:r>
      <w:r>
        <w:rPr>
          <w:rFonts w:hint="eastAsia" w:asciiTheme="minorEastAsia" w:hAnsiTheme="minorEastAsia" w:eastAsiaTheme="minorEastAsia"/>
          <w:sz w:val="24"/>
        </w:rPr>
        <w:t>供方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应按照需方订单通知的产品规格、型号和数量要求，</w:t>
      </w:r>
      <w:r>
        <w:rPr>
          <w:rFonts w:hint="eastAsia" w:asciiTheme="minorEastAsia" w:hAnsiTheme="minorEastAsia" w:eastAsiaTheme="minorEastAsia"/>
          <w:sz w:val="24"/>
        </w:rPr>
        <w:t>应按合同约定的质量、数量和期限交货。供方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自接到订单通知之日起，</w:t>
      </w:r>
      <w:r>
        <w:rPr>
          <w:rFonts w:hint="eastAsia" w:asciiTheme="minorEastAsia" w:hAnsiTheme="minorEastAsia" w:eastAsiaTheme="minorEastAsia"/>
          <w:sz w:val="24"/>
        </w:rPr>
        <w:t>因生产</w:t>
      </w:r>
      <w:r>
        <w:rPr>
          <w:rFonts w:hint="default" w:asciiTheme="minorEastAsia" w:hAnsiTheme="minorEastAsia" w:eastAsiaTheme="minorEastAsia"/>
          <w:sz w:val="24"/>
          <w:lang w:val="en-US"/>
        </w:rPr>
        <w:t>等</w:t>
      </w:r>
      <w:r>
        <w:rPr>
          <w:rFonts w:hint="eastAsia" w:asciiTheme="minorEastAsia" w:hAnsiTheme="minorEastAsia" w:eastAsiaTheme="minorEastAsia"/>
          <w:sz w:val="24"/>
        </w:rPr>
        <w:t>问题不能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合同约定期限</w:t>
      </w:r>
      <w:r>
        <w:rPr>
          <w:rFonts w:hint="eastAsia" w:asciiTheme="minorEastAsia" w:hAnsiTheme="minorEastAsia" w:eastAsiaTheme="minorEastAsia"/>
          <w:sz w:val="24"/>
        </w:rPr>
        <w:t>交货的，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每逾期一日按照逾期供货部分货款的1%支付违约金</w:t>
      </w:r>
      <w:r>
        <w:rPr>
          <w:rFonts w:hint="eastAsia" w:asciiTheme="minorEastAsia" w:hAnsiTheme="minorEastAsia" w:eastAsiaTheme="minorEastAsia"/>
          <w:sz w:val="24"/>
        </w:rPr>
        <w:t>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供方在本合同约定期限内，拒不按照订单通知供货的，需方有权单方解除本合同，扣除履约保证金，并有权要求供方按照需方年度已付款总额的30%支付违约金。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2、</w:t>
      </w:r>
      <w:r>
        <w:rPr>
          <w:rFonts w:hint="eastAsia" w:asciiTheme="minorEastAsia" w:hAnsiTheme="minorEastAsia" w:eastAsiaTheme="minorEastAsia"/>
          <w:sz w:val="24"/>
        </w:rPr>
        <w:t>供方</w:t>
      </w:r>
      <w:r>
        <w:rPr>
          <w:rFonts w:asciiTheme="minorEastAsia" w:hAnsiTheme="minorEastAsia" w:eastAsiaTheme="minorEastAsia"/>
          <w:sz w:val="24"/>
        </w:rPr>
        <w:t>货物不符合质量要求，需方</w:t>
      </w:r>
      <w:r>
        <w:rPr>
          <w:rFonts w:hint="eastAsia" w:asciiTheme="minorEastAsia" w:hAnsiTheme="minorEastAsia" w:eastAsiaTheme="minorEastAsia"/>
          <w:sz w:val="24"/>
        </w:rPr>
        <w:t>有权</w:t>
      </w:r>
      <w:r>
        <w:rPr>
          <w:rFonts w:asciiTheme="minorEastAsia" w:hAnsiTheme="minorEastAsia" w:eastAsiaTheme="minorEastAsia"/>
          <w:sz w:val="24"/>
        </w:rPr>
        <w:t>拒收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供方应立即更换符合质量要求的订单货物，供方拒不更换或逾期更换的，需方有权拒绝支付对应货款，并要求供方按照该等货物对应合同价款的30%向需方支付</w:t>
      </w:r>
      <w:r>
        <w:rPr>
          <w:rFonts w:asciiTheme="minorEastAsia" w:hAnsiTheme="minorEastAsia" w:eastAsiaTheme="minorEastAsia"/>
          <w:sz w:val="24"/>
        </w:rPr>
        <w:t>违约金，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违约金不足以弥补需方损失的，供方还应赔偿</w:t>
      </w:r>
      <w:r>
        <w:rPr>
          <w:rFonts w:asciiTheme="minorEastAsia" w:hAnsiTheme="minorEastAsia" w:eastAsiaTheme="minorEastAsia"/>
          <w:sz w:val="24"/>
        </w:rPr>
        <w:t>因此给需方所造成的损失。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3、</w:t>
      </w:r>
      <w:r>
        <w:rPr>
          <w:rFonts w:hint="eastAsia" w:asciiTheme="minorEastAsia" w:hAnsiTheme="minorEastAsia" w:eastAsiaTheme="minorEastAsia"/>
          <w:sz w:val="24"/>
        </w:rPr>
        <w:t>供方单方毁约，需方有权自行扣除供方向需方缴纳的履约保证金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需方扣除该项保证金后，同样有权向供方主张违约责任或赔偿责任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4、本条款约定的需方损失，包括但不限于因供方违约导致的实际损失、预期可得利益损失、预期对第三方的违约责任等。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5、需方应按照合同约定向供方支付货款，在符合结算条件的情况下，需方逾期办理结算付款的，应按照应付未付部分每日万分之五向供方支付违约金，违约金总额不超过应付货款的20%。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asciiTheme="minorEastAsia" w:hAnsiTheme="minorEastAsia" w:eastAsiaTheme="minorEastAsia"/>
          <w:b/>
          <w:sz w:val="24"/>
        </w:rPr>
      </w:pPr>
      <w:bookmarkStart w:id="0" w:name="_Hlk4507675"/>
      <w:r>
        <w:rPr>
          <w:rFonts w:hint="eastAsia" w:asciiTheme="minorEastAsia" w:hAnsiTheme="minorEastAsia" w:eastAsiaTheme="minorEastAsia"/>
          <w:b/>
          <w:sz w:val="24"/>
        </w:rPr>
        <w:t>十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一</w:t>
      </w:r>
      <w:r>
        <w:rPr>
          <w:rFonts w:hint="eastAsia" w:asciiTheme="minorEastAsia" w:hAnsiTheme="minorEastAsia" w:eastAsiaTheme="minorEastAsia"/>
          <w:b/>
          <w:sz w:val="24"/>
        </w:rPr>
        <w:t>、合同终止条件：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/>
        <w:textAlignment w:val="auto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1、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供方未经需方同意，拒不按照合同约定交付订单货物的；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2、供方</w:t>
      </w:r>
      <w:r>
        <w:rPr>
          <w:rFonts w:hint="eastAsia" w:asciiTheme="minorEastAsia" w:hAnsiTheme="minorEastAsia" w:eastAsiaTheme="minorEastAsia"/>
          <w:sz w:val="24"/>
        </w:rPr>
        <w:t>的产品质量不能满足需方生产工艺要求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、供方的服务达不到需方满意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hanging="480" w:hanging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4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本合同约定的有效期届满的</w:t>
      </w:r>
      <w:r>
        <w:rPr>
          <w:rFonts w:hint="eastAsia" w:asciiTheme="minorEastAsia" w:hAnsiTheme="minorEastAsia" w:eastAsiaTheme="minorEastAsia"/>
          <w:sz w:val="24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sz w:val="24"/>
        </w:rPr>
      </w:pPr>
      <w:bookmarkStart w:id="1" w:name="_Hlk4507740"/>
      <w:r>
        <w:rPr>
          <w:rFonts w:hint="eastAsia" w:asciiTheme="minorEastAsia" w:hAnsiTheme="minorEastAsia" w:eastAsiaTheme="minorEastAsia"/>
          <w:b/>
          <w:sz w:val="24"/>
        </w:rPr>
        <w:t>十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sz w:val="24"/>
        </w:rPr>
        <w:t>、</w:t>
      </w:r>
      <w:r>
        <w:rPr>
          <w:rFonts w:hint="eastAsia" w:asciiTheme="minorEastAsia" w:hAnsiTheme="minorEastAsia" w:eastAsiaTheme="minorEastAsia"/>
          <w:bCs/>
          <w:sz w:val="24"/>
        </w:rPr>
        <w:t>供方应</w:t>
      </w:r>
      <w:r>
        <w:rPr>
          <w:rFonts w:hint="eastAsia" w:asciiTheme="minorEastAsia" w:hAnsiTheme="minorEastAsia" w:eastAsiaTheme="minorEastAsia"/>
          <w:sz w:val="24"/>
        </w:rPr>
        <w:t>严格遵守国家</w:t>
      </w:r>
      <w:r>
        <w:rPr>
          <w:rFonts w:hint="eastAsia" w:asciiTheme="minorEastAsia" w:hAnsiTheme="minorEastAsia" w:eastAsiaTheme="minorEastAsia"/>
          <w:sz w:val="24"/>
          <w:lang w:eastAsia="zh-CN"/>
        </w:rPr>
        <w:t>民法典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</w:rPr>
        <w:t>相关法律法规，做到保护环境，依法纳税，因供方未履行相关义务而给需方或第三方造成损失的，由供方承担。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十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bCs/>
          <w:sz w:val="24"/>
        </w:rPr>
        <w:t>、</w:t>
      </w:r>
      <w:r>
        <w:rPr>
          <w:rFonts w:hint="eastAsia" w:asciiTheme="minorEastAsia" w:hAnsiTheme="minorEastAsia" w:eastAsiaTheme="minorEastAsia"/>
          <w:b/>
          <w:sz w:val="24"/>
        </w:rPr>
        <w:t>争议的解决：</w:t>
      </w:r>
      <w:r>
        <w:rPr>
          <w:rFonts w:hint="eastAsia" w:asciiTheme="minorEastAsia" w:hAnsiTheme="minorEastAsia" w:eastAsiaTheme="minorEastAsia"/>
          <w:sz w:val="24"/>
        </w:rPr>
        <w:t>合同履行过程中发生争议，由双方协商解决；协商不成的，应向需方所在地法院起诉。</w:t>
      </w:r>
      <w:r>
        <w:rPr>
          <w:rFonts w:hint="eastAsia"/>
          <w:sz w:val="24"/>
        </w:rPr>
        <w:t>因一方违约，守约方为维护自身合法权益产生的维权费用由违约方承担，维权费用包括但不限于律师费、诉讼费、保全费、财产保全保险费用、误工费等。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十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sz w:val="24"/>
        </w:rPr>
        <w:t>、</w:t>
      </w:r>
      <w:bookmarkStart w:id="2" w:name="_Hlk4420402"/>
      <w:r>
        <w:rPr>
          <w:rFonts w:hint="eastAsia" w:asciiTheme="minorEastAsia" w:hAnsiTheme="minorEastAsia" w:eastAsiaTheme="minorEastAsia"/>
          <w:b/>
          <w:sz w:val="24"/>
        </w:rPr>
        <w:t>合同有效期：</w:t>
      </w:r>
      <w:r>
        <w:rPr>
          <w:rFonts w:hint="eastAsia" w:ascii="宋体" w:hAnsi="宋体" w:cs="Arial"/>
          <w:sz w:val="24"/>
        </w:rPr>
        <w:t>合同自双方签字盖章之日起生效，</w:t>
      </w:r>
      <w:r>
        <w:rPr>
          <w:rFonts w:hint="eastAsia" w:asciiTheme="minorEastAsia" w:hAnsiTheme="minorEastAsia" w:eastAsiaTheme="minorEastAsia"/>
          <w:sz w:val="24"/>
        </w:rPr>
        <w:t>一式四份，供、需双方各执两份，具有同等法律效力，有效期至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年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月 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</w:rPr>
        <w:t>日。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Arial" w:asciiTheme="minorEastAsia" w:hAnsiTheme="minorEastAsia" w:eastAsiaTheme="minor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Arial" w:asciiTheme="minorEastAsia" w:hAnsiTheme="minorEastAsia" w:eastAsiaTheme="minor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需方（盖章）：                                    供方（盖章）：</w:t>
      </w:r>
      <w:r>
        <w:rPr>
          <w:rFonts w:cs="Arial" w:asciiTheme="minorEastAsia" w:hAnsiTheme="minorEastAsia" w:eastAsiaTheme="minorEastAsia"/>
          <w:b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53" w:rightChars="-73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委托代理人（签字）：</w:t>
      </w:r>
      <w:r>
        <w:rPr>
          <w:rFonts w:cs="Arial" w:asciiTheme="minorEastAsia" w:hAnsiTheme="minorEastAsia" w:eastAsiaTheme="minorEastAsia"/>
          <w:b/>
          <w:sz w:val="24"/>
        </w:rPr>
        <w:t xml:space="preserve">                 </w:t>
      </w:r>
      <w:r>
        <w:rPr>
          <w:rFonts w:hint="eastAsia" w:cs="Arial" w:asciiTheme="minorEastAsia" w:hAnsiTheme="minorEastAsia" w:eastAsiaTheme="minorEastAsia"/>
          <w:b/>
          <w:sz w:val="24"/>
        </w:rPr>
        <w:t xml:space="preserve">             委托代理人（签字）：</w:t>
      </w:r>
      <w:bookmarkEnd w:id="1"/>
    </w:p>
    <w:sectPr>
      <w:headerReference w:type="default" r:id="rId6"/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="http://schemas.openxmlformats.org/wordprocessingml/2006/main" xmlns:v="urn:schemas-microsoft-com:vml" xmlns:o="urn:schemas-microsoft-com:office:office">
  <w:p w:rsidP="" w:rsidRDefault="">
    <w:pPr>
      <w:pStyle w:val="Header"/>
    </w:pPr>
    <w:r>
      <w:rPr>
        <w:noProof/>
      </w:rPr>
      <w:pict>
        <v:shapetype>
          <v:textpath on="t" fitshape="t"/>
          <o:lock v:ext="view"/>
        </v:shapetype>
        <v:shape id="PowerPlusWaterMarkObject0" o:spid="_x0000_s1020" type="#_x0000_t136" style="position: absolute;margin-top: 0;margin-left: 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30;margin-left: 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0;margin-left: 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30;margin-left: 2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0;margin-left: 5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30;margin-left: 50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0;margin-left: 7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30;margin-left: 7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0;margin-left: 10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30;margin-left: 100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0;margin-left: 1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30;margin-left: 12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250;margin-left: 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280;margin-left: 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250;margin-left: 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280;margin-left: 2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250;margin-left: 5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280;margin-left: 50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250;margin-left: 7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280;margin-left: 7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250;margin-left: 10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280;margin-left: 100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250;margin-left: 1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280;margin-left: 12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500;margin-left: 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530;margin-left: 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500;margin-left: 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530;margin-left: 2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500;margin-left: 5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530;margin-left: 50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500;margin-left: 7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530;margin-left: 7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500;margin-left: 10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530;margin-left: 100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500;margin-left: 1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530;margin-left: 12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750;margin-left: 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780;margin-left: 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750;margin-left: 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780;margin-left: 2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750;margin-left: 5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780;margin-left: 50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750;margin-left: 7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780;margin-left: 7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750;margin-left: 10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780;margin-left: 100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750;margin-left: 1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780;margin-left: 12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1000;margin-left: 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030;margin-left: 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1000;margin-left: 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030;margin-left: 2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1000;margin-left: 5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030;margin-left: 50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1000;margin-left: 7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030;margin-left: 7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1000;margin-left: 10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030;margin-left: 100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1000;margin-left: 1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030;margin-left: 12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1250;margin-left: 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280;margin-left: 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1250;margin-left: 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280;margin-left: 2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1250;margin-left: 5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280;margin-left: 50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1250;margin-left: 7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280;margin-left: 7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1250;margin-left: 10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280;margin-left: 1000;width: 90pt;height: 20pt;z-index: 999;opacity: 50%;rotation: -30" fillcolor="#33000000" stroked="false">
          <v:fill opacity=".5"/>
          <v:textpath style="font-family:微软雅黑;font-size:12pt;opacity: 50%;" string="        2023-12-26"/>
        </v:shape>
        <v:shape id="PowerPlusWaterMarkObject0" o:spid="_x0000_s1020" type="#_x0000_t136" style="position: absolute;margin-top: 1250;margin-left: 1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280;margin-left: 1250;width: 90pt;height: 20pt;z-index: 999;opacity: 50%;rotation: -30" fillcolor="#33000000" stroked="false">
          <v:fill opacity=".5"/>
          <v:textpath style="font-family:微软雅黑;font-size:12pt;opacity: 50%;" string="        2023-12-26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00812"/>
    <w:multiLevelType w:val="singleLevel"/>
    <w:tmpl w:val="5C20081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1" w:edit="forms" w:salt="S55JimmkGiF/9y3/F5z7bA==" w:hash="3vrB+++ZCRe41yvivnFcDQ==" w:cryptSpinCount="100000" w:cryptAlgorithmType="typeAny" w:cryptAlgorithmClass="hash" w:cryptProviderType="rsaFull" w:cryptAlgorithmSid="3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NzkyZGJmMDZlMGUwNDllOTRiYzFhOWQ2NjkxMmUifQ=="/>
  </w:docVars>
  <w:rsids>
    <w:rsidRoot w:val="006C16C2"/>
    <w:rsid w:val="00004F95"/>
    <w:rsid w:val="00057FE5"/>
    <w:rsid w:val="00063AEF"/>
    <w:rsid w:val="00096B0A"/>
    <w:rsid w:val="00112D7F"/>
    <w:rsid w:val="0014197B"/>
    <w:rsid w:val="0016642D"/>
    <w:rsid w:val="001E6D6C"/>
    <w:rsid w:val="001F4996"/>
    <w:rsid w:val="0020509E"/>
    <w:rsid w:val="00220A24"/>
    <w:rsid w:val="00234698"/>
    <w:rsid w:val="002650A6"/>
    <w:rsid w:val="00283CB7"/>
    <w:rsid w:val="0028739C"/>
    <w:rsid w:val="002937F2"/>
    <w:rsid w:val="002E6CF9"/>
    <w:rsid w:val="00347A03"/>
    <w:rsid w:val="003A5208"/>
    <w:rsid w:val="00400478"/>
    <w:rsid w:val="004245CA"/>
    <w:rsid w:val="004B0E85"/>
    <w:rsid w:val="00517B9A"/>
    <w:rsid w:val="005E1677"/>
    <w:rsid w:val="005F1E23"/>
    <w:rsid w:val="006626AF"/>
    <w:rsid w:val="0067425E"/>
    <w:rsid w:val="006C16C2"/>
    <w:rsid w:val="00722801"/>
    <w:rsid w:val="0074132F"/>
    <w:rsid w:val="007473DF"/>
    <w:rsid w:val="007644B4"/>
    <w:rsid w:val="007F03CE"/>
    <w:rsid w:val="00831E1D"/>
    <w:rsid w:val="008B3D2D"/>
    <w:rsid w:val="008C499A"/>
    <w:rsid w:val="008D7C89"/>
    <w:rsid w:val="00935500"/>
    <w:rsid w:val="009737F0"/>
    <w:rsid w:val="00A37EBF"/>
    <w:rsid w:val="00A502A4"/>
    <w:rsid w:val="00AF6D1B"/>
    <w:rsid w:val="00B17AF7"/>
    <w:rsid w:val="00B24FD8"/>
    <w:rsid w:val="00B51B48"/>
    <w:rsid w:val="00B746C9"/>
    <w:rsid w:val="00BC34C3"/>
    <w:rsid w:val="00BE6A5C"/>
    <w:rsid w:val="00BF7101"/>
    <w:rsid w:val="00C3093B"/>
    <w:rsid w:val="00C5335A"/>
    <w:rsid w:val="00C55096"/>
    <w:rsid w:val="00CE3EAF"/>
    <w:rsid w:val="00CF69E0"/>
    <w:rsid w:val="00D349CA"/>
    <w:rsid w:val="00E1340E"/>
    <w:rsid w:val="00E170EB"/>
    <w:rsid w:val="00E40325"/>
    <w:rsid w:val="00F36713"/>
    <w:rsid w:val="00F56489"/>
    <w:rsid w:val="00F94944"/>
    <w:rsid w:val="071D3B83"/>
    <w:rsid w:val="0A682522"/>
    <w:rsid w:val="0DAD5587"/>
    <w:rsid w:val="0F345C55"/>
    <w:rsid w:val="12826836"/>
    <w:rsid w:val="13C0225E"/>
    <w:rsid w:val="208F6602"/>
    <w:rsid w:val="219478CD"/>
    <w:rsid w:val="21D84A5A"/>
    <w:rsid w:val="22AE78B7"/>
    <w:rsid w:val="27CF6941"/>
    <w:rsid w:val="2AD61958"/>
    <w:rsid w:val="2B1B2080"/>
    <w:rsid w:val="34E52DF6"/>
    <w:rsid w:val="3A19763A"/>
    <w:rsid w:val="3C933B26"/>
    <w:rsid w:val="3D8F419A"/>
    <w:rsid w:val="423D7815"/>
    <w:rsid w:val="45E306D3"/>
    <w:rsid w:val="4708398C"/>
    <w:rsid w:val="48FF2ED0"/>
    <w:rsid w:val="49E63309"/>
    <w:rsid w:val="4EAB55AD"/>
    <w:rsid w:val="515D34B4"/>
    <w:rsid w:val="540F4510"/>
    <w:rsid w:val="5A2E0C74"/>
    <w:rsid w:val="5B466EDE"/>
    <w:rsid w:val="5BF42E24"/>
    <w:rsid w:val="5DD068E0"/>
    <w:rsid w:val="639B5B51"/>
    <w:rsid w:val="65896217"/>
    <w:rsid w:val="6C7A7C47"/>
    <w:rsid w:val="70D72A5F"/>
    <w:rsid w:val="7C96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Relationship Id="rId6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1770</Words>
  <Characters>1789</Characters>
  <Lines>14</Lines>
  <Paragraphs>3</Paragraphs>
  <TotalTime>66</TotalTime>
  <ScaleCrop>false</ScaleCrop>
  <LinksUpToDate>false</LinksUpToDate>
  <CharactersWithSpaces>2091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2019-03-11T11:48:00Z</dcterms:created>
  <dc:creator>lenovo</dc:creator>
  <cp:lastModifiedBy>话太尖锐</cp:lastModifiedBy>
  <cp:lastPrinted>2019-04-01T09:26:00Z</cp:lastPrinted>
  <dcterms:modified xsi:type="dcterms:W3CDTF">2023-12-26T06:47:40Z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107B6BFCD66349B7BD3F92FCCB039CE6</vt:lpwstr>
  </property>
</Properties>
</file>