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宋体" w:hAnsi="宋体" w:cs="宋体"/>
          <w:b/>
          <w:bCs/>
          <w:color w:val="000000" w:themeColor="text1"/>
          <w:szCs w:val="21"/>
          <w:lang w:eastAsia="zh-CN"/>
          <w14:textFill>
            <w14:solidFill>
              <w14:schemeClr w14:val="tx1"/>
            </w14:solidFill>
          </w14:textFill>
        </w:rPr>
      </w:pPr>
      <w:r>
        <w:rPr>
          <w:rFonts w:hint="eastAsia" w:ascii="宋体" w:hAnsi="宋体" w:cs="宋体"/>
          <w:b/>
          <w:bCs/>
          <w:color w:val="000000" w:themeColor="text1"/>
          <w:szCs w:val="21"/>
          <w:lang w:eastAsia="zh-CN"/>
          <w14:textFill>
            <w14:solidFill>
              <w14:schemeClr w14:val="tx1"/>
            </w14:solidFill>
          </w14:textFill>
        </w:rPr>
        <w:t>罗田县垃圾焚烧发电项目主厂房、综合楼部分区域装饰装修工程施工项目</w:t>
      </w:r>
    </w:p>
    <w:p>
      <w:pPr>
        <w:pStyle w:val="2"/>
        <w:jc w:val="center"/>
        <w:rPr>
          <w:color w:val="000000" w:themeColor="text1"/>
          <w:sz w:val="36"/>
          <w:szCs w:val="44"/>
          <w14:textFill>
            <w14:solidFill>
              <w14:schemeClr w14:val="tx1"/>
            </w14:solidFill>
          </w14:textFill>
        </w:rPr>
      </w:pPr>
      <w:r>
        <w:rPr>
          <w:rFonts w:hint="eastAsia"/>
          <w:color w:val="000000" w:themeColor="text1"/>
          <w:sz w:val="36"/>
          <w:szCs w:val="44"/>
          <w14:textFill>
            <w14:solidFill>
              <w14:schemeClr w14:val="tx1"/>
            </w14:solidFill>
          </w14:textFill>
        </w:rPr>
        <w:t>技术标准和要求</w:t>
      </w:r>
    </w:p>
    <w:p>
      <w:pPr>
        <w:rPr>
          <w:color w:val="000000" w:themeColor="text1"/>
          <w14:textFill>
            <w14:solidFill>
              <w14:schemeClr w14:val="tx1"/>
            </w14:solidFill>
          </w14:textFill>
        </w:rPr>
      </w:pPr>
    </w:p>
    <w:p>
      <w:pPr>
        <w:widowControl/>
        <w:spacing w:line="360" w:lineRule="auto"/>
        <w:rPr>
          <w:rFonts w:ascii="宋体" w:hAnsi="宋体" w:cs="宋体"/>
          <w:b/>
          <w:bCs/>
          <w:color w:val="000000" w:themeColor="text1"/>
          <w14:textFill>
            <w14:solidFill>
              <w14:schemeClr w14:val="tx1"/>
            </w14:solidFill>
          </w14:textFill>
        </w:rPr>
      </w:pPr>
      <w:r>
        <w:rPr>
          <w:rFonts w:hint="eastAsia" w:ascii="宋体" w:hAnsi="宋体" w:cs="宋体"/>
          <w:b/>
          <w:bCs/>
          <w:color w:val="000000" w:themeColor="text1"/>
          <w:lang w:val="en-US" w:eastAsia="zh-CN"/>
          <w14:textFill>
            <w14:solidFill>
              <w14:schemeClr w14:val="tx1"/>
            </w14:solidFill>
          </w14:textFill>
        </w:rPr>
        <w:t>一、</w:t>
      </w:r>
      <w:r>
        <w:rPr>
          <w:rFonts w:hint="eastAsia" w:ascii="宋体" w:hAnsi="宋体" w:cs="宋体"/>
          <w:b/>
          <w:bCs/>
          <w:color w:val="000000" w:themeColor="text1"/>
          <w14:textFill>
            <w14:solidFill>
              <w14:schemeClr w14:val="tx1"/>
            </w14:solidFill>
          </w14:textFill>
        </w:rPr>
        <w:t>项目名称：</w:t>
      </w:r>
      <w:r>
        <w:rPr>
          <w:rFonts w:hint="eastAsia" w:ascii="宋体" w:hAnsi="宋体" w:cs="宋体"/>
          <w:b/>
          <w:bCs/>
          <w:color w:val="000000" w:themeColor="text1"/>
          <w:szCs w:val="21"/>
          <w:lang w:eastAsia="zh-CN"/>
          <w14:textFill>
            <w14:solidFill>
              <w14:schemeClr w14:val="tx1"/>
            </w14:solidFill>
          </w14:textFill>
        </w:rPr>
        <w:t>罗田县垃圾焚烧发电项目</w:t>
      </w:r>
      <w:r>
        <w:rPr>
          <w:rFonts w:hint="eastAsia" w:ascii="宋体" w:hAnsi="宋体" w:cs="宋体"/>
          <w:b/>
          <w:bCs/>
          <w:color w:val="000000" w:themeColor="text1"/>
          <w14:textFill>
            <w14:solidFill>
              <w14:schemeClr w14:val="tx1"/>
            </w14:solidFill>
          </w14:textFill>
        </w:rPr>
        <w:t>综合楼及主厂房部分区域装饰装修标段</w:t>
      </w:r>
    </w:p>
    <w:p>
      <w:pPr>
        <w:widowControl/>
        <w:spacing w:line="360" w:lineRule="auto"/>
        <w:rPr>
          <w:rFonts w:ascii="宋体" w:hAnsi="宋体" w:cs="宋体"/>
          <w:b/>
          <w:bCs/>
          <w:color w:val="000000" w:themeColor="text1"/>
          <w14:textFill>
            <w14:solidFill>
              <w14:schemeClr w14:val="tx1"/>
            </w14:solidFill>
          </w14:textFill>
        </w:rPr>
      </w:pPr>
      <w:r>
        <w:rPr>
          <w:rFonts w:hint="eastAsia" w:ascii="宋体" w:hAnsi="宋体" w:cs="宋体"/>
          <w:b/>
          <w:bCs/>
          <w:color w:val="000000" w:themeColor="text1"/>
          <w:lang w:val="en-US" w:eastAsia="zh-CN"/>
          <w14:textFill>
            <w14:solidFill>
              <w14:schemeClr w14:val="tx1"/>
            </w14:solidFill>
          </w14:textFill>
        </w:rPr>
        <w:t>二、</w:t>
      </w:r>
      <w:r>
        <w:rPr>
          <w:rFonts w:hint="eastAsia" w:ascii="宋体" w:hAnsi="宋体" w:cs="宋体"/>
          <w:b/>
          <w:bCs/>
          <w:color w:val="000000" w:themeColor="text1"/>
          <w14:textFill>
            <w14:solidFill>
              <w14:schemeClr w14:val="tx1"/>
            </w14:solidFill>
          </w14:textFill>
        </w:rPr>
        <w:t>施工范围：</w:t>
      </w:r>
      <w:r>
        <w:rPr>
          <w:rFonts w:hint="eastAsia" w:ascii="宋体" w:hAnsi="宋体" w:cs="宋体"/>
          <w:b/>
          <w:bCs/>
          <w:color w:val="000000" w:themeColor="text1"/>
          <w:szCs w:val="21"/>
          <w:lang w:eastAsia="zh-CN"/>
          <w14:textFill>
            <w14:solidFill>
              <w14:schemeClr w14:val="tx1"/>
            </w14:solidFill>
          </w14:textFill>
        </w:rPr>
        <w:t>罗田县垃圾焚烧发电项目</w:t>
      </w:r>
      <w:r>
        <w:rPr>
          <w:rFonts w:hint="eastAsia" w:ascii="宋体" w:hAnsi="宋体" w:cs="宋体"/>
          <w:b/>
          <w:bCs/>
          <w:color w:val="000000" w:themeColor="text1"/>
          <w14:textFill>
            <w14:solidFill>
              <w14:schemeClr w14:val="tx1"/>
            </w14:solidFill>
          </w14:textFill>
        </w:rPr>
        <w:t>综合楼及主厂房部分区域装饰装修工程</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cs="宋体"/>
          <w:b w:val="0"/>
          <w:bCs w:val="0"/>
          <w:color w:val="000000" w:themeColor="text1"/>
          <w14:textFill>
            <w14:solidFill>
              <w14:schemeClr w14:val="tx1"/>
            </w14:solidFill>
          </w14:textFill>
        </w:rPr>
      </w:pPr>
      <w:r>
        <w:rPr>
          <w:rFonts w:hint="eastAsia" w:ascii="宋体" w:hAnsi="宋体" w:cs="宋体"/>
          <w:b w:val="0"/>
          <w:bCs w:val="0"/>
          <w:color w:val="000000" w:themeColor="text1"/>
          <w14:textFill>
            <w14:solidFill>
              <w14:schemeClr w14:val="tx1"/>
            </w14:solidFill>
          </w14:textFill>
        </w:rPr>
        <w:t>综合楼：建筑面积约2600平米，施工内容包含综合楼的地面、墙面、顶面、外立面的装饰，灯具、开关插座、门窗、防水</w:t>
      </w:r>
      <w:r>
        <w:rPr>
          <w:rFonts w:hint="eastAsia" w:ascii="宋体" w:hAnsi="宋体" w:cs="宋体"/>
          <w:b w:val="0"/>
          <w:bCs w:val="0"/>
          <w:color w:val="000000" w:themeColor="text1"/>
          <w:lang w:val="en-US" w:eastAsia="zh-CN"/>
          <w14:textFill>
            <w14:solidFill>
              <w14:schemeClr w14:val="tx1"/>
            </w14:solidFill>
          </w14:textFill>
        </w:rPr>
        <w:t>及精装修</w:t>
      </w:r>
      <w:r>
        <w:rPr>
          <w:rFonts w:hint="eastAsia" w:ascii="宋体" w:hAnsi="宋体" w:cs="宋体"/>
          <w:b w:val="0"/>
          <w:bCs w:val="0"/>
          <w:color w:val="000000" w:themeColor="text1"/>
          <w14:textFill>
            <w14:solidFill>
              <w14:schemeClr w14:val="tx1"/>
            </w14:solidFill>
          </w14:textFill>
        </w:rPr>
        <w:t>水电</w:t>
      </w:r>
      <w:r>
        <w:rPr>
          <w:rFonts w:hint="eastAsia" w:ascii="宋体" w:hAnsi="宋体" w:cs="宋体"/>
          <w:b w:val="0"/>
          <w:bCs w:val="0"/>
          <w:color w:val="000000" w:themeColor="text1"/>
          <w:lang w:eastAsia="zh-CN"/>
          <w14:textFill>
            <w14:solidFill>
              <w14:schemeClr w14:val="tx1"/>
            </w14:solidFill>
          </w14:textFill>
        </w:rPr>
        <w:t>、</w:t>
      </w:r>
      <w:r>
        <w:rPr>
          <w:rFonts w:hint="eastAsia" w:ascii="宋体" w:hAnsi="宋体" w:cs="宋体"/>
          <w:b w:val="0"/>
          <w:bCs w:val="0"/>
          <w:color w:val="000000" w:themeColor="text1"/>
          <w14:textFill>
            <w14:solidFill>
              <w14:schemeClr w14:val="tx1"/>
            </w14:solidFill>
          </w14:textFill>
        </w:rPr>
        <w:t>给排水</w:t>
      </w:r>
      <w:r>
        <w:rPr>
          <w:rFonts w:hint="eastAsia" w:ascii="宋体" w:hAnsi="宋体" w:cs="宋体"/>
          <w:b w:val="0"/>
          <w:bCs w:val="0"/>
          <w:color w:val="000000" w:themeColor="text1"/>
          <w:lang w:val="en-US" w:eastAsia="zh-CN"/>
          <w14:textFill>
            <w14:solidFill>
              <w14:schemeClr w14:val="tx1"/>
            </w14:solidFill>
          </w14:textFill>
        </w:rPr>
        <w:t>改造</w:t>
      </w:r>
      <w:r>
        <w:rPr>
          <w:rFonts w:hint="eastAsia" w:ascii="宋体" w:hAnsi="宋体" w:cs="宋体"/>
          <w:b w:val="0"/>
          <w:bCs w:val="0"/>
          <w:color w:val="000000" w:themeColor="text1"/>
          <w14:textFill>
            <w14:solidFill>
              <w14:schemeClr w14:val="tx1"/>
            </w14:solidFill>
          </w14:textFill>
        </w:rPr>
        <w:t>施工。地板由甲方提供，具体范围以</w:t>
      </w:r>
      <w:r>
        <w:rPr>
          <w:rFonts w:hint="eastAsia" w:ascii="宋体" w:hAnsi="宋体" w:cs="宋体"/>
          <w:b w:val="0"/>
          <w:bCs w:val="0"/>
          <w:color w:val="000000" w:themeColor="text1"/>
          <w:lang w:val="en-US" w:eastAsia="zh-CN"/>
          <w14:textFill>
            <w14:solidFill>
              <w14:schemeClr w14:val="tx1"/>
            </w14:solidFill>
          </w14:textFill>
        </w:rPr>
        <w:t>招标文件附件技术</w:t>
      </w:r>
      <w:r>
        <w:rPr>
          <w:rFonts w:hint="eastAsia" w:ascii="宋体" w:hAnsi="宋体" w:cs="宋体"/>
          <w:b w:val="0"/>
          <w:bCs w:val="0"/>
          <w:color w:val="000000" w:themeColor="text1"/>
          <w14:textFill>
            <w14:solidFill>
              <w14:schemeClr w14:val="tx1"/>
            </w14:solidFill>
          </w14:textFill>
        </w:rPr>
        <w:t>图纸为准。</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cs="宋体"/>
          <w:b w:val="0"/>
          <w:bCs w:val="0"/>
          <w:color w:val="000000" w:themeColor="text1"/>
          <w14:textFill>
            <w14:solidFill>
              <w14:schemeClr w14:val="tx1"/>
            </w14:solidFill>
          </w14:textFill>
        </w:rPr>
      </w:pPr>
      <w:r>
        <w:rPr>
          <w:rFonts w:hint="eastAsia" w:ascii="宋体" w:hAnsi="宋体" w:cs="宋体"/>
          <w:b w:val="0"/>
          <w:bCs w:val="0"/>
          <w:color w:val="000000" w:themeColor="text1"/>
          <w14:textFill>
            <w14:solidFill>
              <w14:schemeClr w14:val="tx1"/>
            </w14:solidFill>
          </w14:textFill>
        </w:rPr>
        <w:t>主厂房区域：施工内容包含0米层</w:t>
      </w:r>
      <w:r>
        <w:rPr>
          <w:rFonts w:hint="eastAsia" w:ascii="宋体" w:hAnsi="宋体" w:cs="宋体"/>
          <w:b w:val="0"/>
          <w:bCs w:val="0"/>
          <w:color w:val="000000" w:themeColor="text1"/>
          <w:lang w:val="en-US" w:eastAsia="zh-CN"/>
          <w14:textFill>
            <w14:solidFill>
              <w14:schemeClr w14:val="tx1"/>
            </w14:solidFill>
          </w14:textFill>
        </w:rPr>
        <w:t>会议室</w:t>
      </w:r>
      <w:r>
        <w:rPr>
          <w:rFonts w:hint="eastAsia" w:ascii="宋体" w:hAnsi="宋体" w:cs="宋体"/>
          <w:b w:val="0"/>
          <w:bCs w:val="0"/>
          <w:color w:val="000000" w:themeColor="text1"/>
          <w14:textFill>
            <w14:solidFill>
              <w14:schemeClr w14:val="tx1"/>
            </w14:solidFill>
          </w14:textFill>
        </w:rPr>
        <w:t>、</w:t>
      </w:r>
      <w:r>
        <w:rPr>
          <w:rFonts w:hint="eastAsia" w:ascii="宋体" w:hAnsi="宋体" w:cs="宋体"/>
          <w:b w:val="0"/>
          <w:bCs w:val="0"/>
          <w:color w:val="000000" w:themeColor="text1"/>
          <w:lang w:val="en-US" w:eastAsia="zh-CN"/>
          <w14:textFill>
            <w14:solidFill>
              <w14:schemeClr w14:val="tx1"/>
            </w14:solidFill>
          </w14:textFill>
        </w:rPr>
        <w:t>卫生间、走廊；</w:t>
      </w:r>
      <w:r>
        <w:rPr>
          <w:rFonts w:hint="eastAsia" w:ascii="宋体" w:hAnsi="宋体" w:cs="宋体"/>
          <w:b w:val="0"/>
          <w:bCs w:val="0"/>
          <w:color w:val="000000" w:themeColor="text1"/>
          <w14:textFill>
            <w14:solidFill>
              <w14:schemeClr w14:val="tx1"/>
            </w14:solidFill>
          </w14:textFill>
        </w:rPr>
        <w:t>7米层中控室、参观走廊、办公室、卫生间</w:t>
      </w:r>
      <w:r>
        <w:rPr>
          <w:rFonts w:hint="eastAsia" w:ascii="宋体" w:hAnsi="宋体" w:cs="宋体"/>
          <w:b w:val="0"/>
          <w:bCs w:val="0"/>
          <w:color w:val="000000" w:themeColor="text1"/>
          <w:lang w:eastAsia="zh-CN"/>
          <w14:textFill>
            <w14:solidFill>
              <w14:schemeClr w14:val="tx1"/>
            </w14:solidFill>
          </w14:textFill>
        </w:rPr>
        <w:t>；</w:t>
      </w:r>
      <w:r>
        <w:rPr>
          <w:rFonts w:hint="eastAsia" w:ascii="宋体" w:hAnsi="宋体" w:cs="宋体"/>
          <w:b w:val="0"/>
          <w:bCs w:val="0"/>
          <w:color w:val="000000" w:themeColor="text1"/>
          <w14:textFill>
            <w14:solidFill>
              <w14:schemeClr w14:val="tx1"/>
            </w14:solidFill>
          </w14:textFill>
        </w:rPr>
        <w:t>23.5米层垃圾吊控制室、前室、走廊、卫生间</w:t>
      </w:r>
      <w:r>
        <w:rPr>
          <w:rFonts w:hint="eastAsia" w:ascii="宋体" w:hAnsi="宋体" w:cs="宋体"/>
          <w:b w:val="0"/>
          <w:bCs w:val="0"/>
          <w:color w:val="000000" w:themeColor="text1"/>
          <w:lang w:val="en-US" w:eastAsia="zh-CN"/>
          <w14:textFill>
            <w14:solidFill>
              <w14:schemeClr w14:val="tx1"/>
            </w14:solidFill>
          </w14:textFill>
        </w:rPr>
        <w:t>等相关区域</w:t>
      </w:r>
      <w:r>
        <w:rPr>
          <w:rFonts w:hint="eastAsia" w:ascii="宋体" w:hAnsi="宋体" w:cs="宋体"/>
          <w:b w:val="0"/>
          <w:bCs w:val="0"/>
          <w:color w:val="000000" w:themeColor="text1"/>
          <w:lang w:eastAsia="zh-CN"/>
          <w14:textFill>
            <w14:solidFill>
              <w14:schemeClr w14:val="tx1"/>
            </w14:solidFill>
          </w14:textFill>
        </w:rPr>
        <w:t>。</w:t>
      </w:r>
      <w:r>
        <w:rPr>
          <w:rFonts w:hint="eastAsia" w:ascii="宋体" w:hAnsi="宋体" w:cs="宋体"/>
          <w:b w:val="0"/>
          <w:bCs w:val="0"/>
          <w:color w:val="000000" w:themeColor="text1"/>
          <w:lang w:val="en-US" w:eastAsia="zh-CN"/>
          <w14:textFill>
            <w14:solidFill>
              <w14:schemeClr w14:val="tx1"/>
            </w14:solidFill>
          </w14:textFill>
        </w:rPr>
        <w:t>以上</w:t>
      </w:r>
      <w:r>
        <w:rPr>
          <w:rFonts w:hint="eastAsia" w:ascii="宋体" w:hAnsi="宋体" w:cs="宋体"/>
          <w:b w:val="0"/>
          <w:bCs w:val="0"/>
          <w:color w:val="000000" w:themeColor="text1"/>
          <w14:textFill>
            <w14:solidFill>
              <w14:schemeClr w14:val="tx1"/>
            </w14:solidFill>
          </w14:textFill>
        </w:rPr>
        <w:t>区域的地面、墙面、顶面，灯具、开关插座、门窗、防水</w:t>
      </w:r>
      <w:r>
        <w:rPr>
          <w:rFonts w:hint="eastAsia" w:ascii="宋体" w:hAnsi="宋体" w:cs="宋体"/>
          <w:b w:val="0"/>
          <w:bCs w:val="0"/>
          <w:color w:val="000000" w:themeColor="text1"/>
          <w:lang w:val="en-US" w:eastAsia="zh-CN"/>
          <w14:textFill>
            <w14:solidFill>
              <w14:schemeClr w14:val="tx1"/>
            </w14:solidFill>
          </w14:textFill>
        </w:rPr>
        <w:t>及精装修</w:t>
      </w:r>
      <w:r>
        <w:rPr>
          <w:rFonts w:hint="eastAsia" w:ascii="宋体" w:hAnsi="宋体" w:cs="宋体"/>
          <w:b w:val="0"/>
          <w:bCs w:val="0"/>
          <w:color w:val="000000" w:themeColor="text1"/>
          <w14:textFill>
            <w14:solidFill>
              <w14:schemeClr w14:val="tx1"/>
            </w14:solidFill>
          </w14:textFill>
        </w:rPr>
        <w:t>水电</w:t>
      </w:r>
      <w:r>
        <w:rPr>
          <w:rFonts w:hint="eastAsia" w:ascii="宋体" w:hAnsi="宋体" w:cs="宋体"/>
          <w:b w:val="0"/>
          <w:bCs w:val="0"/>
          <w:color w:val="000000" w:themeColor="text1"/>
          <w:lang w:eastAsia="zh-CN"/>
          <w14:textFill>
            <w14:solidFill>
              <w14:schemeClr w14:val="tx1"/>
            </w14:solidFill>
          </w14:textFill>
        </w:rPr>
        <w:t>、</w:t>
      </w:r>
      <w:r>
        <w:rPr>
          <w:rFonts w:hint="eastAsia" w:ascii="宋体" w:hAnsi="宋体" w:cs="宋体"/>
          <w:b w:val="0"/>
          <w:bCs w:val="0"/>
          <w:color w:val="000000" w:themeColor="text1"/>
          <w14:textFill>
            <w14:solidFill>
              <w14:schemeClr w14:val="tx1"/>
            </w14:solidFill>
          </w14:textFill>
        </w:rPr>
        <w:t>给排水</w:t>
      </w:r>
      <w:r>
        <w:rPr>
          <w:rFonts w:hint="eastAsia" w:ascii="宋体" w:hAnsi="宋体" w:cs="宋体"/>
          <w:b w:val="0"/>
          <w:bCs w:val="0"/>
          <w:color w:val="000000" w:themeColor="text1"/>
          <w:lang w:val="en-US" w:eastAsia="zh-CN"/>
          <w14:textFill>
            <w14:solidFill>
              <w14:schemeClr w14:val="tx1"/>
            </w14:solidFill>
          </w14:textFill>
        </w:rPr>
        <w:t>改造</w:t>
      </w:r>
      <w:r>
        <w:rPr>
          <w:rFonts w:hint="eastAsia" w:ascii="宋体" w:hAnsi="宋体" w:cs="宋体"/>
          <w:b w:val="0"/>
          <w:bCs w:val="0"/>
          <w:color w:val="000000" w:themeColor="text1"/>
          <w14:textFill>
            <w14:solidFill>
              <w14:schemeClr w14:val="tx1"/>
            </w14:solidFill>
          </w14:textFill>
        </w:rPr>
        <w:t>施工。地砖由甲方提供，具体范围以</w:t>
      </w:r>
      <w:r>
        <w:rPr>
          <w:rFonts w:hint="eastAsia" w:ascii="宋体" w:hAnsi="宋体" w:cs="宋体"/>
          <w:b w:val="0"/>
          <w:bCs w:val="0"/>
          <w:color w:val="000000" w:themeColor="text1"/>
          <w:lang w:val="en-US" w:eastAsia="zh-CN"/>
          <w14:textFill>
            <w14:solidFill>
              <w14:schemeClr w14:val="tx1"/>
            </w14:solidFill>
          </w14:textFill>
        </w:rPr>
        <w:t>招标文件附件技术</w:t>
      </w:r>
      <w:r>
        <w:rPr>
          <w:rFonts w:hint="eastAsia" w:ascii="宋体" w:hAnsi="宋体" w:cs="宋体"/>
          <w:b w:val="0"/>
          <w:bCs w:val="0"/>
          <w:color w:val="000000" w:themeColor="text1"/>
          <w14:textFill>
            <w14:solidFill>
              <w14:schemeClr w14:val="tx1"/>
            </w14:solidFill>
          </w14:textFill>
        </w:rPr>
        <w:t>图纸为准。</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b/>
          <w:bCs/>
          <w:color w:val="000000" w:themeColor="text1"/>
          <w14:textFill>
            <w14:solidFill>
              <w14:schemeClr w14:val="tx1"/>
            </w14:solidFill>
          </w14:textFill>
        </w:rPr>
        <w:t>（一）一般要求</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1.安全文明施工</w:t>
      </w:r>
      <w:bookmarkStart w:id="3" w:name="_GoBack"/>
      <w:bookmarkEnd w:id="3"/>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（1）安全防护</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按照通用合同条款约定履行其安全施工职责。</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（2）临时消防</w:t>
      </w:r>
    </w:p>
    <w:p>
      <w:pPr>
        <w:widowControl/>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承包人应建立消防安全责任制度，制定用火、用电和使用易燃易爆等危险品的消防安全管理制度和操作规程。各项制度和规程等应满足相关法律法规和政府消防管理机构的要求。</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（3）临时供电</w:t>
      </w:r>
    </w:p>
    <w:p>
      <w:pPr>
        <w:widowControl/>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承包人应当根据《施工现场临时用电安全技术规范》及其适用的修订版本的规定和施工要求编制施工临时用电方案。临时用电方案及其变更必须履行“编制、审核、批准”程序。施工临时用电方案应当由电气工程技术人员组织编制，经企业技术负责人批准后实施，经编制、审核、批准部门和使用单位共同验收合格后方可投入使用。</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（4）劳动保护</w:t>
      </w:r>
    </w:p>
    <w:p>
      <w:pPr>
        <w:widowControl/>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承包人应按照国家《劳动保护法》的规定，保障现场施工人员的劳动安全。承包人应为本合同下雇佣的职员和工人提供适当和充分的劳动保护，包括但不限于安全防护、防寒、防雨、防尘、绝缘保护、常用药品、急救设备、传染病预防等。</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（5）脚手架</w:t>
      </w:r>
    </w:p>
    <w:p>
      <w:pPr>
        <w:widowControl/>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承包人应搭设并维护一切必要的临时脚手架、挑平台并配以脚手板、安全网、护身栏杆、门架、马道、坡道、爬梯等等。脚手架和挑平台的搭设应满足有关安全生产的法律、法规、规范、标准和规程等的要求。新搭设的脚手架投入使用前，承包人必须组织安全检查和验收，并对使用脚手架的作业人员进行安全交底。</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（6）施工安全措施计划</w:t>
      </w:r>
    </w:p>
    <w:p>
      <w:pPr>
        <w:widowControl/>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承包人应根据《中华人民共和国安全生产法》、《职业健康安全管理体系规范》、《中华人民共和国消防法》、《中华人民共和国道路交通安全法》、《中华人民共和国传染病防治法实施办法》和地方有关的法规等，按照合同条款第..项的约定，编制一份施工安全措施计划，报送监理人审批。</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（7）文明施工</w:t>
      </w:r>
    </w:p>
    <w:p>
      <w:pPr>
        <w:widowControl/>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承包人应遵守国家和工程所在地有关法规、规范、规程和标准的规定，履行文明施工义务，确保文明施工专项费用专款专用。</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2.环境保护</w:t>
      </w:r>
    </w:p>
    <w:p>
      <w:pPr>
        <w:widowControl/>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在工程施工、完工及修补任何缺陷的过程中，承包人应当始终遵守国家和工程所在地有关环境保护、水土保护和污染防治的法律、法规、规章、规范、标准和规程等，按照通用合同条款的约定履行其环境与生态保护职责。</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（1）施工环保措施计划</w:t>
      </w:r>
    </w:p>
    <w:p>
      <w:pPr>
        <w:widowControl/>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通用合同条款约定的施工环保措施计划是承包人阐明环保方针和拟采用的环保措施及方法等的文件，其内容应包括但不限于：</w:t>
      </w:r>
    </w:p>
    <w:p>
      <w:pPr>
        <w:widowControl/>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承包人生活区(如果有)的生活用水和生活污水处理措施；施工生产废水处理措施；施工扬尘和废气的处理措施；施工噪声和光污染控制措施；节能减排措施；不可再生资源循环利用措施；固体废弃物处理措施；人群健康保护和卫生防疫措施；防止误用有害材料的保证措施；施工边坡工程的水土流失保护措施；道路污染防治措施；完工后场地清理及其植被(如果有)恢复的规划和措施。</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3.治安保卫</w:t>
      </w:r>
    </w:p>
    <w:p>
      <w:pPr>
        <w:widowControl/>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承包人应为施工场地(现场)提供小时的保安保卫服务，配备足够的保安人员和保安设备，防止未经批准的任何人进入现场，控制人员、材料和设备等的进出场，防止现场材料、设备或其他任何物品的失窃，禁止任何现场内的打架斗殴事件。</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4.地上、地下设施和周边建筑物的临时保护</w:t>
      </w:r>
    </w:p>
    <w:p>
      <w:pPr>
        <w:widowControl/>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承包人应为施工场地及其周边现有的地上、地下设施和建筑物提供足够的临时保护设施，确保施工过程中这些设施和建筑物不会受到干扰和破坏。</w:t>
      </w:r>
    </w:p>
    <w:p>
      <w:pPr>
        <w:widowControl/>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承包人应当制订现有设施临时保护方案和应急处理方案，并在本工程开工前至少提前天报送监理人，监理人应在收到现有设施临时保护方案后的天内批复承包人。承包人应当严格执行经监理人批准的保护方案，并保证在任何可能影响周边现有的地上、地下设施或周边建筑物的施工作业开始前，相应的临时保护设施能够落实到位。</w:t>
      </w:r>
    </w:p>
    <w:p>
      <w:pPr>
        <w:widowControl/>
        <w:numPr>
          <w:ilvl w:val="0"/>
          <w:numId w:val="1"/>
        </w:numPr>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工程质量样板引路作业指引</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(1)样板实施时间</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工序样板需在该分项工程大面积施工前完成并通过验收；</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交房样板需在内批白工序正式大面积开始前完成并通过验收；</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样板示范区及工艺与材料展示样板应在方案设计阶段进行统一规划设置，结合项目工程进度进行安排。</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（2）样板施工的验收流程</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样板施工完成并经自检合格后，由施工单位向监理单位、项目公司工程部申请验收。</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样板工程验收由总包公司工程部组织，项目公司工程部专业工程师、监理单位项目总监及专业工程师，施工单位项目负责人、技术负责人、专业施工员、施工班组长参加。</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（3）大面积施工必须在样板验收合格后方可开始。不同施工单位在大面积施工时，只能参照同一样板标准进行。大面积施工标准不得低于样板施工标准。</w:t>
      </w:r>
    </w:p>
    <w:p>
      <w:pPr>
        <w:widowControl/>
        <w:numPr>
          <w:ilvl w:val="0"/>
          <w:numId w:val="1"/>
        </w:numPr>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竣工验收和工程移交</w:t>
      </w:r>
    </w:p>
    <w:p>
      <w:pPr>
        <w:widowControl/>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竣工验收前的清理</w:t>
      </w:r>
    </w:p>
    <w:p>
      <w:pPr>
        <w:widowControl/>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在向监理人提交竣工验收申请报告前，承包人应当完成竣工验收前的清理工作，包括但不限于：</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(1)从永久工程内清除所有剩余材料、杂物、垃圾等等；</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(2)清洗工程的所有地面、墙面、楼面、路面等表面；</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(3)清洗和擦洗所有玻璃、磁砖、石材和所有金属面；</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(4)修缮所有损坏、清除所有污迹、替换所有需更换的材料；</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(5)所有表面完成约定的装修和装饰；</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(6)检查和调试所有的门、窗、抽屉等以确保他们开启的顺畅；</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(7)检查和调试所有的五金件并上油；</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(8)检查、测试和确保所有服务系统、设施和设备达到良好的运行状态和效果；</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(9)所有钥匙(如果有)贴上标签并固定到钥匙排上随时可以交给监理人。</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7.清理工作所需费用由承包人承担。</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（1）竣工验收申请报告</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竣工验收申请报告，也称竣工验收报告，是承包人完成合同约定的工作内容后，按照国家有关施工质量验收标准的规定，经其自行检查，证明已经完成合同工作内容并符合合同约定，达到竣工验收标准，而向监理人或发包人提交的请求发包人组织进行合同工程竣工验收的一份书面申请函，合同约定的竣工验收资料和其他文件一般作为竣工验收申请报告的附件，是竣工验收申请报告的组成部分。</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竣工验收申请报告一般应当包括工程概况说明，承包范围，分包工程情况，主要材料、设备供应情况，采用的主要施工方法，新材料、新技术和新工艺采用情况，自检质量情况等的说明。竣工验收申请报告的格式和应当包括的内容应事先经过监理人的审批。</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竣工验收申请报告应当按通用合同条款第.款附上下列内容：</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承包人的自行检查和评定记录文件，即除监理人同意列入缺陷责任期内完成的尾工(甩项)工程和缺陷修补工作外，合同范围内的全部单位工程以及有关工作，包括合同要求的试验、试运行以及检验和验收均已完成，并符合合同要求；按专用合同条款约定的内容和份数整理的符合要求的竣工资料；按监理人的要求编制了在缺陷责任期内完成的尾工(甩项)工程和缺陷修补工作清单以及相应施工计划；监理人要求在竣工验收前应完成的其他工作的证明材料；监理人要求提交的竣工验收资料清单；通用合同条款约定的单位工程竣工验收成果和结论文件(如果有)；专用合同条款约定的质量保修书(此前已经提交的不再提交)。</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 竣工清场</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监理人颁发(出具)工程接收证书后，承包人应在天内按以下要求对施工场地(现场)进行清理：</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从施工场地(现场)清除所有杂物和垃圾等等；从施工场地现场拆除所有的临时工程和临时设施并恢复地面原状，但经监理人批准的护坡桩、锚杆、塔吊基础和无法拆除的埋入式模板等无法拆除的临时设施除外；撤离所有承包人施工设备和剩余材料(经监理人同意需在缺陷责任期内继续使用的除外)；监理人指示的其他清场工作。</w:t>
      </w:r>
    </w:p>
    <w:p>
      <w:pPr>
        <w:widowControl/>
        <w:spacing w:line="360" w:lineRule="auto"/>
        <w:rPr>
          <w:rFonts w:ascii="宋体" w:hAnsi="宋体" w:cs="宋体"/>
          <w:b/>
          <w:bCs/>
          <w:color w:val="000000" w:themeColor="text1"/>
          <w14:textFill>
            <w14:solidFill>
              <w14:schemeClr w14:val="tx1"/>
            </w14:solidFill>
          </w14:textFill>
        </w:rPr>
      </w:pPr>
      <w:r>
        <w:rPr>
          <w:rFonts w:hint="eastAsia" w:ascii="宋体" w:hAnsi="宋体" w:cs="宋体"/>
          <w:b/>
          <w:bCs/>
          <w:color w:val="000000" w:themeColor="text1"/>
          <w14:textFill>
            <w14:solidFill>
              <w14:schemeClr w14:val="tx1"/>
            </w14:solidFill>
          </w14:textFill>
        </w:rPr>
        <w:t>（二）技术标准</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 适用的规范、标准和规程</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1.1 本工程适用现行国家、行业和地方规范、标准和规程。构成合同文件的任何内容与</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适用的规范、标准和规程之间出现矛盾，施工人应书面要求发包人予以澄清，除发包人有特</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别指示外，监理人应按照最严格的标准执行。</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1.2 除合同另有约定外，材料、施工工艺和本工程都应依照本技术标准和要求以及适用</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的现行规范、标准和规程的最新版本执行。若适用的现行规范、标准和规程的最新版本是在</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基准日后颁布的，且相应标准发生变更并成为合同文件中最严格的标准。</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 施工、监理及验收规范</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本工程执行国家现行的与本工程有关的施工、监理及验收规范、标准图集、图纸设计等。</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 项目名称：综合楼、主厂房装饰装修</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施工范围：装饰装修</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施工说明及技术参数：</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bookmarkStart w:id="0" w:name="_Hlk47344682"/>
      <w:r>
        <w:rPr>
          <w:rFonts w:hint="eastAsia" w:ascii="宋体" w:hAnsi="宋体" w:cs="宋体"/>
          <w:color w:val="000000" w:themeColor="text1"/>
          <w14:textFill>
            <w14:solidFill>
              <w14:schemeClr w14:val="tx1"/>
            </w14:solidFill>
          </w14:textFill>
        </w:rPr>
        <w:t>3.1 新建隔墙项目</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3.1.1 砌砖</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注：凡厕所、设备用房、消防前室新增墙体均为砖砌，砖墙须满足相应的防火防潮要求。消防前室的耐火极限为3小时，设备用房的耐火极限是2小时，管道井壁的耐火极限为1个小时，每个 2-3 层用相当于楼板耐火极限的不燃烧体作防火分割。</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3.1.2 轻钢龙骨隔墙</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注：1.除上述墙体以外的隔墙全是轻质隔墙，隔墙安装到顶，走道隔墙耐火极限为1个小时，房间隔墙耐火极限为0.75小时。</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参见（轻钢龙骨隔墙吊顶工程设计施工及验收规章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100 系列</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双面覆12厚纸面石膏板，内填充岩棉</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按装配电器的墙面增加一层防潮纸面石膏板</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隔墙</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3.1.3 成品玻璃隔断</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由专业厂家负责安装到位。</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造型经设计认可</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3.2 地坪项目</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3.2.1 地板砖</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·确定样品：需要提供两块地板砖小样，请业主、总包、设计、监理加以确认。所有地板砖材料需提供相应的书面产品技术参数与经国家权威检测机构的检测报告。</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·排列图：根据设计要求做现场实地设计划分放样排列图，并请设计确认。</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施工及质量要求：地板砖厚度满足规范要求，厚度不小于10MM</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（1）水泥砂浆结合层、砖底面应洁净，每砖之间、与结合层之间以及在墙角、镶边和靠墙处，应紧密贴合。在靠墙处不得采用砂浆填补。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（2）砖面层与下一层的结合（粘结）应牢固，无空鼓。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（3）砖面层的表面应洁净、图案清晰，色泽一致，接缝平整，深浅一致，周边顺直。板块无裂纹、掉角和缺楞等缺陷。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 踢脚线表面应洁净、高度一致、结合牢固、出墙厚度一致。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（5） 楼梯踏步和台阶板的缝隙宽度应一致，齿角整齐；楼层梯段相邻踏高度差不应大于10mm；防滑条顺直。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（6） 砖面层表面的坡度应符合设计要求，不倒泛水、无积水；与地漏、管道结合处应严密牢固，无渗漏。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注：色泽一致、文理一致铺贴采用1 : 2 干硬性水泥浆渗素水泥沙浆找平层厚度以实际标高为准，铺贴要求密实、平整、无空鼓现象。用同色补封赋予补堆拼封。</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成品地板砖保护：铺设完成后要清洁、保护（用专用塑料薄膜护上，再铺石膏板板加强保护）以防止砂子将石材表面磨坏。</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3.2.2 复合实木地板</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材料：12-18MM厚建议15-18MM厚较好。干燥处理，含水率小于 11表面木皮厚大与 1 毫米。</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·需提供相应木材“烘干及含水量”等处理后的资料，以及出厂合格证等</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·施工及质量要求</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做法原有砼地坪上，焊钢架舞台细木工板铺贴其高低差不得大于正负 2MM ，铺塑料薄膜以防潮，铺设到四周墙边时要高于墙面约 l00MM ，以达到隔潮的作用，上铺企口实木地板。要严格按专业产品出厂施工说明要求来施工，否则易起拱，效果不佳。</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3.3 墙面项目</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3.3.1 乳胶漆</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·工艺流程：基层处理→找平腻子1遍（养护1～2天）→找平腻子局部打磨→找平腻子2遍（养护1～2天）→打磨、验收→刮刷第一遍涂料（4小时后刷第二遍）→验收→刮刷第二遍涂料→验收</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·对基层的要求：</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1)基层的碱度PH值应在10以下，含水率应在8%以下。</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2)基层表面应平整，阴、阳角及角线应密实，轮廓分明。</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3)基层应坚固，如有空鼓、酥松、起泡、起砂、空洞、裂缝等缺陷，应进行处理。</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4)表面应无油污、灰尘、溅沫、及砂浆流痕等物。</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·基层处理：</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1)清理</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a用清扫工具清扫灰尘及其他附着物。</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b砂浆溅物及流痕等用铲刀、钢丝刷清理干净。</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c用5%——10%的氢氧化钠水溶液清洗油污及脱模剂等污垢，然后用清水冲洗干净。</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d空鼓、酥松、起皮、起砂等用铲刀清理，再用清水冲洗，后再进行修补。</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·质量标准</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1）保证项目</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涂料工程等级和材料品种、颜色应符合设计要求和有关标准的规定。</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涂料工程严禁脱皮、漏刷和透底及有明显接槎。</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2）基本项目</w:t>
      </w:r>
    </w:p>
    <w:p>
      <w:pPr>
        <w:spacing w:line="360" w:lineRule="auto"/>
        <w:jc w:val="center"/>
        <w:rPr>
          <w:color w:val="000000" w:themeColor="text1"/>
          <w:sz w:val="24"/>
          <w14:textFill>
            <w14:solidFill>
              <w14:schemeClr w14:val="tx1"/>
            </w14:solidFill>
          </w14:textFill>
        </w:rPr>
      </w:pPr>
    </w:p>
    <w:p>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涂料基本项目</w:t>
      </w:r>
    </w:p>
    <w:tbl>
      <w:tblPr>
        <w:tblStyle w:val="8"/>
        <w:tblW w:w="7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5"/>
        <w:gridCol w:w="1425"/>
        <w:gridCol w:w="1376"/>
        <w:gridCol w:w="2608"/>
        <w:gridCol w:w="1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05" w:type="dxa"/>
            <w:vAlign w:val="center"/>
          </w:tcPr>
          <w:p>
            <w:pPr>
              <w:spacing w:line="2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项次</w:t>
            </w:r>
          </w:p>
        </w:tc>
        <w:tc>
          <w:tcPr>
            <w:tcW w:w="2801" w:type="dxa"/>
            <w:gridSpan w:val="2"/>
            <w:vAlign w:val="center"/>
          </w:tcPr>
          <w:p>
            <w:pPr>
              <w:spacing w:line="2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项目</w:t>
            </w:r>
          </w:p>
        </w:tc>
        <w:tc>
          <w:tcPr>
            <w:tcW w:w="2608" w:type="dxa"/>
            <w:vAlign w:val="center"/>
          </w:tcPr>
          <w:p>
            <w:pPr>
              <w:spacing w:line="2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质量要求</w:t>
            </w:r>
          </w:p>
        </w:tc>
        <w:tc>
          <w:tcPr>
            <w:tcW w:w="1583" w:type="dxa"/>
            <w:vAlign w:val="center"/>
          </w:tcPr>
          <w:p>
            <w:pPr>
              <w:spacing w:line="36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905" w:type="dxa"/>
            <w:vMerge w:val="restart"/>
            <w:vAlign w:val="center"/>
          </w:tcPr>
          <w:p>
            <w:pPr>
              <w:spacing w:line="2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p>
        </w:tc>
        <w:tc>
          <w:tcPr>
            <w:tcW w:w="1425" w:type="dxa"/>
            <w:vMerge w:val="restart"/>
            <w:vAlign w:val="center"/>
          </w:tcPr>
          <w:p>
            <w:pPr>
              <w:spacing w:line="2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涂饰颜色</w:t>
            </w:r>
          </w:p>
        </w:tc>
        <w:tc>
          <w:tcPr>
            <w:tcW w:w="1376" w:type="dxa"/>
            <w:vAlign w:val="center"/>
          </w:tcPr>
          <w:p>
            <w:pPr>
              <w:spacing w:line="2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普通涂饰</w:t>
            </w:r>
          </w:p>
        </w:tc>
        <w:tc>
          <w:tcPr>
            <w:tcW w:w="2608" w:type="dxa"/>
            <w:vAlign w:val="center"/>
          </w:tcPr>
          <w:p>
            <w:pPr>
              <w:spacing w:line="2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均匀一致</w:t>
            </w:r>
          </w:p>
        </w:tc>
        <w:tc>
          <w:tcPr>
            <w:tcW w:w="1583" w:type="dxa"/>
            <w:vAlign w:val="center"/>
          </w:tcPr>
          <w:p>
            <w:pPr>
              <w:spacing w:line="360" w:lineRule="auto"/>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905" w:type="dxa"/>
            <w:vMerge w:val="continue"/>
            <w:vAlign w:val="center"/>
          </w:tcPr>
          <w:p>
            <w:pPr>
              <w:spacing w:line="260" w:lineRule="exact"/>
              <w:jc w:val="center"/>
              <w:rPr>
                <w:rFonts w:ascii="宋体" w:hAnsi="宋体" w:cs="宋体"/>
                <w:color w:val="000000" w:themeColor="text1"/>
                <w:szCs w:val="21"/>
                <w14:textFill>
                  <w14:solidFill>
                    <w14:schemeClr w14:val="tx1"/>
                  </w14:solidFill>
                </w14:textFill>
              </w:rPr>
            </w:pPr>
          </w:p>
        </w:tc>
        <w:tc>
          <w:tcPr>
            <w:tcW w:w="1425" w:type="dxa"/>
            <w:vMerge w:val="continue"/>
            <w:vAlign w:val="center"/>
          </w:tcPr>
          <w:p>
            <w:pPr>
              <w:spacing w:line="260" w:lineRule="exact"/>
              <w:jc w:val="center"/>
              <w:rPr>
                <w:rFonts w:ascii="宋体" w:hAnsi="宋体" w:cs="宋体"/>
                <w:color w:val="000000" w:themeColor="text1"/>
                <w:szCs w:val="21"/>
                <w14:textFill>
                  <w14:solidFill>
                    <w14:schemeClr w14:val="tx1"/>
                  </w14:solidFill>
                </w14:textFill>
              </w:rPr>
            </w:pPr>
          </w:p>
        </w:tc>
        <w:tc>
          <w:tcPr>
            <w:tcW w:w="1376" w:type="dxa"/>
            <w:vAlign w:val="center"/>
          </w:tcPr>
          <w:p>
            <w:pPr>
              <w:spacing w:line="2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高级涂饰</w:t>
            </w:r>
          </w:p>
        </w:tc>
        <w:tc>
          <w:tcPr>
            <w:tcW w:w="2608" w:type="dxa"/>
            <w:vAlign w:val="center"/>
          </w:tcPr>
          <w:p>
            <w:pPr>
              <w:spacing w:line="2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均匀一致</w:t>
            </w:r>
          </w:p>
        </w:tc>
        <w:tc>
          <w:tcPr>
            <w:tcW w:w="1583" w:type="dxa"/>
            <w:vMerge w:val="restart"/>
            <w:vAlign w:val="center"/>
          </w:tcPr>
          <w:p>
            <w:pPr>
              <w:spacing w:line="36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观察检查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05" w:type="dxa"/>
            <w:vMerge w:val="restart"/>
            <w:vAlign w:val="center"/>
          </w:tcPr>
          <w:p>
            <w:pPr>
              <w:spacing w:line="2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w:t>
            </w:r>
          </w:p>
        </w:tc>
        <w:tc>
          <w:tcPr>
            <w:tcW w:w="1425" w:type="dxa"/>
            <w:vMerge w:val="restart"/>
            <w:vAlign w:val="center"/>
          </w:tcPr>
          <w:p>
            <w:pPr>
              <w:spacing w:line="2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泛碱、咬色</w:t>
            </w:r>
          </w:p>
        </w:tc>
        <w:tc>
          <w:tcPr>
            <w:tcW w:w="1376" w:type="dxa"/>
            <w:vAlign w:val="center"/>
          </w:tcPr>
          <w:p>
            <w:pPr>
              <w:spacing w:line="2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普通涂饰</w:t>
            </w:r>
          </w:p>
        </w:tc>
        <w:tc>
          <w:tcPr>
            <w:tcW w:w="2608" w:type="dxa"/>
            <w:vAlign w:val="center"/>
          </w:tcPr>
          <w:p>
            <w:pPr>
              <w:spacing w:line="2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允许少量轻微</w:t>
            </w:r>
          </w:p>
        </w:tc>
        <w:tc>
          <w:tcPr>
            <w:tcW w:w="1583" w:type="dxa"/>
            <w:vMerge w:val="continue"/>
            <w:vAlign w:val="center"/>
          </w:tcPr>
          <w:p>
            <w:pPr>
              <w:spacing w:line="360" w:lineRule="auto"/>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905" w:type="dxa"/>
            <w:vMerge w:val="continue"/>
            <w:vAlign w:val="center"/>
          </w:tcPr>
          <w:p>
            <w:pPr>
              <w:spacing w:line="260" w:lineRule="exact"/>
              <w:jc w:val="center"/>
              <w:rPr>
                <w:rFonts w:ascii="宋体" w:hAnsi="宋体" w:cs="宋体"/>
                <w:color w:val="000000" w:themeColor="text1"/>
                <w:szCs w:val="21"/>
                <w14:textFill>
                  <w14:solidFill>
                    <w14:schemeClr w14:val="tx1"/>
                  </w14:solidFill>
                </w14:textFill>
              </w:rPr>
            </w:pPr>
          </w:p>
        </w:tc>
        <w:tc>
          <w:tcPr>
            <w:tcW w:w="1425" w:type="dxa"/>
            <w:vMerge w:val="continue"/>
            <w:vAlign w:val="center"/>
          </w:tcPr>
          <w:p>
            <w:pPr>
              <w:spacing w:line="260" w:lineRule="exact"/>
              <w:jc w:val="center"/>
              <w:rPr>
                <w:rFonts w:ascii="宋体" w:hAnsi="宋体" w:cs="宋体"/>
                <w:color w:val="000000" w:themeColor="text1"/>
                <w:szCs w:val="21"/>
                <w14:textFill>
                  <w14:solidFill>
                    <w14:schemeClr w14:val="tx1"/>
                  </w14:solidFill>
                </w14:textFill>
              </w:rPr>
            </w:pPr>
          </w:p>
        </w:tc>
        <w:tc>
          <w:tcPr>
            <w:tcW w:w="1376" w:type="dxa"/>
            <w:vAlign w:val="center"/>
          </w:tcPr>
          <w:p>
            <w:pPr>
              <w:spacing w:line="2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高级涂饰</w:t>
            </w:r>
          </w:p>
        </w:tc>
        <w:tc>
          <w:tcPr>
            <w:tcW w:w="2608" w:type="dxa"/>
            <w:vAlign w:val="center"/>
          </w:tcPr>
          <w:p>
            <w:pPr>
              <w:spacing w:line="2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不允许</w:t>
            </w:r>
          </w:p>
        </w:tc>
        <w:tc>
          <w:tcPr>
            <w:tcW w:w="1583" w:type="dxa"/>
            <w:vMerge w:val="continue"/>
            <w:vAlign w:val="center"/>
          </w:tcPr>
          <w:p>
            <w:pPr>
              <w:spacing w:line="360" w:lineRule="auto"/>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05" w:type="dxa"/>
            <w:vMerge w:val="restart"/>
            <w:vAlign w:val="center"/>
          </w:tcPr>
          <w:p>
            <w:pPr>
              <w:spacing w:line="2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w:t>
            </w:r>
          </w:p>
        </w:tc>
        <w:tc>
          <w:tcPr>
            <w:tcW w:w="1425" w:type="dxa"/>
            <w:vMerge w:val="restart"/>
            <w:vAlign w:val="center"/>
          </w:tcPr>
          <w:p>
            <w:pPr>
              <w:spacing w:line="2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流坠、疙瘩</w:t>
            </w:r>
          </w:p>
        </w:tc>
        <w:tc>
          <w:tcPr>
            <w:tcW w:w="1376" w:type="dxa"/>
            <w:vAlign w:val="center"/>
          </w:tcPr>
          <w:p>
            <w:pPr>
              <w:spacing w:line="2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普通涂饰</w:t>
            </w:r>
          </w:p>
        </w:tc>
        <w:tc>
          <w:tcPr>
            <w:tcW w:w="2608" w:type="dxa"/>
            <w:vAlign w:val="center"/>
          </w:tcPr>
          <w:p>
            <w:pPr>
              <w:spacing w:line="2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允许少量轻微</w:t>
            </w:r>
          </w:p>
        </w:tc>
        <w:tc>
          <w:tcPr>
            <w:tcW w:w="1583" w:type="dxa"/>
            <w:vMerge w:val="continue"/>
            <w:vAlign w:val="center"/>
          </w:tcPr>
          <w:p>
            <w:pPr>
              <w:spacing w:line="360" w:lineRule="auto"/>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905" w:type="dxa"/>
            <w:vMerge w:val="continue"/>
            <w:vAlign w:val="center"/>
          </w:tcPr>
          <w:p>
            <w:pPr>
              <w:spacing w:line="260" w:lineRule="exact"/>
              <w:jc w:val="center"/>
              <w:rPr>
                <w:rFonts w:ascii="宋体" w:hAnsi="宋体" w:cs="宋体"/>
                <w:color w:val="000000" w:themeColor="text1"/>
                <w:szCs w:val="21"/>
                <w14:textFill>
                  <w14:solidFill>
                    <w14:schemeClr w14:val="tx1"/>
                  </w14:solidFill>
                </w14:textFill>
              </w:rPr>
            </w:pPr>
          </w:p>
        </w:tc>
        <w:tc>
          <w:tcPr>
            <w:tcW w:w="1425" w:type="dxa"/>
            <w:vMerge w:val="continue"/>
            <w:vAlign w:val="center"/>
          </w:tcPr>
          <w:p>
            <w:pPr>
              <w:spacing w:line="260" w:lineRule="exact"/>
              <w:jc w:val="center"/>
              <w:rPr>
                <w:rFonts w:ascii="宋体" w:hAnsi="宋体" w:cs="宋体"/>
                <w:color w:val="000000" w:themeColor="text1"/>
                <w:szCs w:val="21"/>
                <w14:textFill>
                  <w14:solidFill>
                    <w14:schemeClr w14:val="tx1"/>
                  </w14:solidFill>
                </w14:textFill>
              </w:rPr>
            </w:pPr>
          </w:p>
        </w:tc>
        <w:tc>
          <w:tcPr>
            <w:tcW w:w="1376" w:type="dxa"/>
            <w:vAlign w:val="center"/>
          </w:tcPr>
          <w:p>
            <w:pPr>
              <w:spacing w:line="2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高级涂饰</w:t>
            </w:r>
          </w:p>
        </w:tc>
        <w:tc>
          <w:tcPr>
            <w:tcW w:w="2608" w:type="dxa"/>
            <w:vAlign w:val="center"/>
          </w:tcPr>
          <w:p>
            <w:pPr>
              <w:spacing w:line="2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不允许</w:t>
            </w:r>
          </w:p>
        </w:tc>
        <w:tc>
          <w:tcPr>
            <w:tcW w:w="1583" w:type="dxa"/>
            <w:vMerge w:val="continue"/>
            <w:vAlign w:val="center"/>
          </w:tcPr>
          <w:p>
            <w:pPr>
              <w:spacing w:line="360" w:lineRule="auto"/>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905" w:type="dxa"/>
            <w:vMerge w:val="restart"/>
            <w:vAlign w:val="center"/>
          </w:tcPr>
          <w:p>
            <w:pPr>
              <w:spacing w:line="2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w:t>
            </w:r>
          </w:p>
        </w:tc>
        <w:tc>
          <w:tcPr>
            <w:tcW w:w="1425" w:type="dxa"/>
            <w:vMerge w:val="restart"/>
            <w:vAlign w:val="center"/>
          </w:tcPr>
          <w:p>
            <w:pPr>
              <w:spacing w:line="2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砂眼、刷纹</w:t>
            </w:r>
          </w:p>
        </w:tc>
        <w:tc>
          <w:tcPr>
            <w:tcW w:w="1376" w:type="dxa"/>
            <w:vAlign w:val="center"/>
          </w:tcPr>
          <w:p>
            <w:pPr>
              <w:spacing w:line="2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普通涂饰</w:t>
            </w:r>
          </w:p>
        </w:tc>
        <w:tc>
          <w:tcPr>
            <w:tcW w:w="2608" w:type="dxa"/>
            <w:vAlign w:val="center"/>
          </w:tcPr>
          <w:p>
            <w:pPr>
              <w:spacing w:line="2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允许少量轻微砂眼，刷纹通顺</w:t>
            </w:r>
          </w:p>
        </w:tc>
        <w:tc>
          <w:tcPr>
            <w:tcW w:w="1583" w:type="dxa"/>
            <w:vMerge w:val="continue"/>
            <w:vAlign w:val="center"/>
          </w:tcPr>
          <w:p>
            <w:pPr>
              <w:spacing w:line="360" w:lineRule="auto"/>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905" w:type="dxa"/>
            <w:vMerge w:val="continue"/>
            <w:vAlign w:val="center"/>
          </w:tcPr>
          <w:p>
            <w:pPr>
              <w:spacing w:line="260" w:lineRule="exact"/>
              <w:jc w:val="center"/>
              <w:rPr>
                <w:rFonts w:ascii="宋体" w:hAnsi="宋体" w:cs="宋体"/>
                <w:color w:val="000000" w:themeColor="text1"/>
                <w:szCs w:val="21"/>
                <w14:textFill>
                  <w14:solidFill>
                    <w14:schemeClr w14:val="tx1"/>
                  </w14:solidFill>
                </w14:textFill>
              </w:rPr>
            </w:pPr>
          </w:p>
        </w:tc>
        <w:tc>
          <w:tcPr>
            <w:tcW w:w="1425" w:type="dxa"/>
            <w:vMerge w:val="continue"/>
            <w:vAlign w:val="center"/>
          </w:tcPr>
          <w:p>
            <w:pPr>
              <w:spacing w:line="260" w:lineRule="exact"/>
              <w:jc w:val="center"/>
              <w:rPr>
                <w:rFonts w:ascii="宋体" w:hAnsi="宋体" w:cs="宋体"/>
                <w:color w:val="000000" w:themeColor="text1"/>
                <w:szCs w:val="21"/>
                <w14:textFill>
                  <w14:solidFill>
                    <w14:schemeClr w14:val="tx1"/>
                  </w14:solidFill>
                </w14:textFill>
              </w:rPr>
            </w:pPr>
          </w:p>
        </w:tc>
        <w:tc>
          <w:tcPr>
            <w:tcW w:w="1376" w:type="dxa"/>
            <w:vAlign w:val="center"/>
          </w:tcPr>
          <w:p>
            <w:pPr>
              <w:spacing w:line="2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高级涂饰</w:t>
            </w:r>
          </w:p>
        </w:tc>
        <w:tc>
          <w:tcPr>
            <w:tcW w:w="2608" w:type="dxa"/>
            <w:vAlign w:val="center"/>
          </w:tcPr>
          <w:p>
            <w:pPr>
              <w:spacing w:line="2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无砂眼、无刷纹</w:t>
            </w:r>
          </w:p>
        </w:tc>
        <w:tc>
          <w:tcPr>
            <w:tcW w:w="1583" w:type="dxa"/>
            <w:vMerge w:val="continue"/>
            <w:vAlign w:val="center"/>
          </w:tcPr>
          <w:p>
            <w:pPr>
              <w:spacing w:line="360" w:lineRule="auto"/>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905" w:type="dxa"/>
            <w:vMerge w:val="restart"/>
            <w:vAlign w:val="center"/>
          </w:tcPr>
          <w:p>
            <w:pPr>
              <w:spacing w:line="2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w:t>
            </w:r>
          </w:p>
        </w:tc>
        <w:tc>
          <w:tcPr>
            <w:tcW w:w="1425" w:type="dxa"/>
            <w:vMerge w:val="restart"/>
            <w:vAlign w:val="center"/>
          </w:tcPr>
          <w:p>
            <w:pPr>
              <w:spacing w:line="2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装饰线、分色线直线度</w:t>
            </w:r>
          </w:p>
        </w:tc>
        <w:tc>
          <w:tcPr>
            <w:tcW w:w="1376" w:type="dxa"/>
            <w:vAlign w:val="center"/>
          </w:tcPr>
          <w:p>
            <w:pPr>
              <w:spacing w:line="2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普通涂饰</w:t>
            </w:r>
          </w:p>
        </w:tc>
        <w:tc>
          <w:tcPr>
            <w:tcW w:w="2608" w:type="dxa"/>
            <w:vAlign w:val="center"/>
          </w:tcPr>
          <w:p>
            <w:pPr>
              <w:spacing w:line="2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≤2mm</w:t>
            </w:r>
          </w:p>
        </w:tc>
        <w:tc>
          <w:tcPr>
            <w:tcW w:w="1583" w:type="dxa"/>
            <w:vMerge w:val="restart"/>
            <w:vAlign w:val="center"/>
          </w:tcPr>
          <w:p>
            <w:pPr>
              <w:spacing w:line="36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拉线和钢直尺检查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905" w:type="dxa"/>
            <w:vMerge w:val="continue"/>
            <w:vAlign w:val="center"/>
          </w:tcPr>
          <w:p>
            <w:pPr>
              <w:spacing w:line="260" w:lineRule="exact"/>
              <w:jc w:val="center"/>
              <w:rPr>
                <w:rFonts w:ascii="宋体" w:hAnsi="宋体" w:cs="宋体"/>
                <w:color w:val="000000" w:themeColor="text1"/>
                <w:sz w:val="18"/>
                <w:szCs w:val="18"/>
                <w14:textFill>
                  <w14:solidFill>
                    <w14:schemeClr w14:val="tx1"/>
                  </w14:solidFill>
                </w14:textFill>
              </w:rPr>
            </w:pPr>
          </w:p>
        </w:tc>
        <w:tc>
          <w:tcPr>
            <w:tcW w:w="1425" w:type="dxa"/>
            <w:vMerge w:val="continue"/>
            <w:vAlign w:val="center"/>
          </w:tcPr>
          <w:p>
            <w:pPr>
              <w:spacing w:line="260" w:lineRule="exact"/>
              <w:jc w:val="center"/>
              <w:rPr>
                <w:rFonts w:ascii="宋体" w:hAnsi="宋体" w:cs="宋体"/>
                <w:color w:val="000000" w:themeColor="text1"/>
                <w:sz w:val="18"/>
                <w:szCs w:val="18"/>
                <w14:textFill>
                  <w14:solidFill>
                    <w14:schemeClr w14:val="tx1"/>
                  </w14:solidFill>
                </w14:textFill>
              </w:rPr>
            </w:pPr>
          </w:p>
        </w:tc>
        <w:tc>
          <w:tcPr>
            <w:tcW w:w="1376" w:type="dxa"/>
            <w:vAlign w:val="center"/>
          </w:tcPr>
          <w:p>
            <w:pPr>
              <w:spacing w:line="260" w:lineRule="exact"/>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Cs w:val="21"/>
                <w14:textFill>
                  <w14:solidFill>
                    <w14:schemeClr w14:val="tx1"/>
                  </w14:solidFill>
                </w14:textFill>
              </w:rPr>
              <w:t>高级涂饰</w:t>
            </w:r>
          </w:p>
        </w:tc>
        <w:tc>
          <w:tcPr>
            <w:tcW w:w="2608" w:type="dxa"/>
            <w:vAlign w:val="center"/>
          </w:tcPr>
          <w:p>
            <w:pPr>
              <w:spacing w:line="2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≤1mm</w:t>
            </w:r>
          </w:p>
        </w:tc>
        <w:tc>
          <w:tcPr>
            <w:tcW w:w="1583" w:type="dxa"/>
            <w:vMerge w:val="continue"/>
            <w:vAlign w:val="center"/>
          </w:tcPr>
          <w:p>
            <w:pPr>
              <w:spacing w:line="360" w:lineRule="auto"/>
              <w:jc w:val="center"/>
              <w:rPr>
                <w:rFonts w:ascii="宋体" w:hAnsi="宋体" w:cs="宋体"/>
                <w:color w:val="000000" w:themeColor="text1"/>
                <w:sz w:val="18"/>
                <w:szCs w:val="18"/>
                <w14:textFill>
                  <w14:solidFill>
                    <w14:schemeClr w14:val="tx1"/>
                  </w14:solidFill>
                </w14:textFill>
              </w:rPr>
            </w:pPr>
          </w:p>
        </w:tc>
      </w:tr>
    </w:tbl>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3）施工要点</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（1）涂料工程基体或基层的含水率：混凝土和抹灰表面施涂溶剂型涂料时，不得大于8%；施涂水性和乳液涂料时，不得大于10%；木制品，不得大于12%。</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（2）涂料干燥前应防止雨淋、污染。有水房间应采用具有耐水性能的腻子。</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（3）涂料的工作粘度或稠度，必须加以控制，使其在施涂时不流坠，不显刷纹。</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（4）施涂溶剂型涂料时，后一遍涂料必须在前一遍涂料干燥后进行。施涂水性和乳液的涂料时，后一遍涂料必须在前一遍涂料表面干燥后进行。每一遍涂料应施涂均匀，各层必须结合牢固。</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（5）采用机械喷涂时，应将不喷涂部位遮盖，以防污染。</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4）真石漆施工要点：</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（1）墙面要求平整、干燥（有10天以上养护期），无浮尘、油脂及沥青等油污，墙基PH值&lt;10，含水率&lt;10%。</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（2）采用抗碱封闭底漆进行施工，增强墙体与面涂的粘合强度及防水功能，底漆用量约0.1-0.15Kg/m2。 </w:t>
      </w:r>
      <w:r>
        <w:rPr>
          <w:rFonts w:hint="eastAsia" w:ascii="宋体" w:hAnsi="宋体" w:cs="宋体"/>
          <w:color w:val="000000" w:themeColor="text1"/>
          <w14:textFill>
            <w14:solidFill>
              <w14:schemeClr w14:val="tx1"/>
            </w14:solidFill>
          </w14:textFill>
        </w:rPr>
        <w:br w:type="textWrapping"/>
      </w:r>
      <w:r>
        <w:rPr>
          <w:rFonts w:hint="eastAsia" w:ascii="宋体" w:hAnsi="宋体" w:cs="宋体"/>
          <w:color w:val="000000" w:themeColor="text1"/>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（3）墙面要求匀直，确保墙面整体美观。</w:t>
      </w:r>
    </w:p>
    <w:p>
      <w:pPr>
        <w:widowControl/>
        <w:tabs>
          <w:tab w:val="left" w:pos="5197"/>
        </w:tabs>
        <w:spacing w:line="360" w:lineRule="auto"/>
        <w:rPr>
          <w:rFonts w:hint="eastAsia" w:ascii="宋体" w:hAnsi="宋体" w:eastAsia="宋体" w:cs="宋体"/>
          <w:color w:val="000000" w:themeColor="text1"/>
          <w:lang w:eastAsia="zh-CN"/>
          <w14:textFill>
            <w14:solidFill>
              <w14:schemeClr w14:val="tx1"/>
            </w14:solidFill>
          </w14:textFill>
        </w:rPr>
      </w:pPr>
      <w:r>
        <w:rPr>
          <w:rFonts w:hint="eastAsia" w:ascii="宋体" w:hAnsi="宋体" w:cs="宋体"/>
          <w:color w:val="000000" w:themeColor="text1"/>
          <w14:textFill>
            <w14:solidFill>
              <w14:schemeClr w14:val="tx1"/>
            </w14:solidFill>
          </w14:textFill>
        </w:rPr>
        <w:t>3.3.2 墙纸</w:t>
      </w:r>
      <w:r>
        <w:rPr>
          <w:rFonts w:hint="eastAsia" w:ascii="宋体" w:hAnsi="宋体" w:cs="宋体"/>
          <w:color w:val="000000" w:themeColor="text1"/>
          <w:lang w:eastAsia="zh-CN"/>
          <w14:textFill>
            <w14:solidFill>
              <w14:schemeClr w14:val="tx1"/>
            </w14:solidFill>
          </w14:textFill>
        </w:rPr>
        <w:tab/>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腻子批嵌</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壁纸专用胶</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进口阻燃墙纸</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3.3.3 铝板</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墙面：基层相邻的面竖向构件尺寸不大于 2mm ，横向构件尺寸小于 2m 时为 1.5mm ，大于 2m 时为 2mm 。包柱：同轴排到柱子大小相同，中心线必须一致。铝板颜色一致，折弯后阳角挺直，角尺一致。金属板的组装应满足“JGJIOZ ”中构件及面板的要求。接装面板完成后，运用相容性，粘接性好的密封胶嵌缝，胶宽必须一致，表面平整，无接口平刺十字缝高纸铝板按装参照所选厂商的施工工艺说明，并符合相应规范。</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3.3.4 面砖</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l : 2 水泥砂浆加衡释 107 胶水铺贴，离缝（砖墙上）</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面砖专用粘贴剂粘贴（非砖墙上）。</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3.4 吊顶项目</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3.4.1 轻钢龙骨选型及施工参见规范 《 轻钢龙骨隔墙吊顶工程设计施工及验收规程 》 DPDBJ08-210-95，大面积吊顶采用 9+9 纸面石膏板，卫生间吊顶采用 12 厚防潮纸面石膏板</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(1)吊顶施工应在屋面或楼地面的防水层作完，墙面抹灰完，顶棚内各种管线及通风管道设备安装完进行。</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（2）根据吊顶的设计标高必须在四周墙上弹线，弹线应清楚，位置准确，其水平允许偏差±5mm内。</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（3）在吊点位置用冲击钻打孔，放入膨胀螺栓，然后将膨胀螺栓与L型吊件连接，并拧紧固定。</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（4）吊杆间距为900mm~1200mm。次龙骨用</w:t>
      </w:r>
      <w:r>
        <w:rPr>
          <w:rFonts w:ascii="宋体" w:hAnsi="宋体" w:cs="宋体"/>
          <w:color w:val="000000" w:themeColor="text1"/>
          <w14:textFill>
            <w14:solidFill>
              <w14:schemeClr w14:val="tx1"/>
            </w14:solidFill>
          </w14:textFill>
        </w:rPr>
        <w:t>吊挂件吊挂</w:t>
      </w:r>
      <w:r>
        <w:rPr>
          <w:rFonts w:hint="eastAsia" w:ascii="宋体" w:hAnsi="宋体" w:cs="宋体"/>
          <w:color w:val="000000" w:themeColor="text1"/>
          <w14:textFill>
            <w14:solidFill>
              <w14:schemeClr w14:val="tx1"/>
            </w14:solidFill>
          </w14:textFill>
        </w:rPr>
        <w:t>主龙骨之上，间距一般不大于600mm。</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（5）安装灯具、风口的附加龙骨，在顶棚设置灯具、通风口时，根据灯具、风口的重量大小，决定固定方法，轻型的可固定在中龙骨或附加横撑上，稍重的可吊在主龙骨或附加主龙骨上。</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（6）龙骨工程完毕后，应将吊顶层以上的各种穿墙洞口封堵严密后进行隐检工程检收，验收合格后方可进行下道工序施工。</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（7）各类型龙骨沿长度方向可用接插件连接，接头处需错开。</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（8）纸面石膏板用自攻螺丝钉于次龙骨上，自攻螺丝头部要凹进石膏板0.5~1mm，端头部要涂刷防锈漆。</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（9）将石膏板的长边与次龙骨垂直铺设，板不得有悬挑现象，石膏板对接时应靠紧，但不得强压就位。可从一板角或中间行列开始，不宜多点同时铺钉。</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（10）石膏板用4mm×35mm自攻螺丝与龙骨钉牢，不得有松动现象，螺丝位置布置均匀，钉眼距包封边不小于10mm，距切割边不小于15mm，钉距在板边处宜150mm~200mm，在板中心处宜200mm~300mm，钉眼用石膏腻子嵌平。</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11）板缝处理：在包边的板缝处，用刮刀将嵌缝石膏腻子填嵌密实，再刮厚约1mm，宽约60mm腻子，随即贴上穿孔纸带，纸带宽度不得小于60mm，用刮刀顺着纸带方向刮压，使腻子均匀地挤出纸带外。在切割边接缝处应清理干净，用石膏腻子填嵌密实、平滑。纸带贴好后，满刮腻子前应对此部分施工做隐检验收。</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12）罩面板安装前，需对板材进行检查，如颜色图案不一，有缺楞掉角以及明显裂纹的应挑出另行处理。罩面板与龙骨应连接紧密，表面应平整，不得有污染、折裂、缺棱掉角，锤伤等缺陷、接缝应均匀一致。钉好或卡好的罩面板不得有漏、透、翘角现象。</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3.4.2 金属铝板</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配套金属烤漆龙骨（暗）</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金属铝板（详见施工图，颜色设计与甲方商定）</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3.4.3 转角处理</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墙面及吊顶如用石膏板，阴角处用纸带，阳角处用专用金属护角条，吊顶与墙面阳角处留凹槽，详见图纸。</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3.5 楼梯护栏项目</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不锈钢栏杆对照施工图，检查结构尺寸同装饰面是否吻合，测量弹线定位后，安装埋件，</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埋件深度不可破坏楼板结构。对不锈钢扶手有一定强度要求的栏杆应使用钢管架内衬加固，</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转角应圆滑，接头平整，采用组装式安装，原则上现场不用明火（焊接）。立面垂直不大于1mm 表面平整不大于 2mm，阳角方正不大于 2mm ，接缝平直不大于 0.5mm，接缝高低不大于 0.5mm ，焊接缝宽度不大于 0.5mm，焊缝高低差不大于 0.5mm 。</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3.6 门、窗</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·所有钢质门、夹板门、实拼门由专业厂家生产，．造型、材质、含水率须经设计师认可．</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·所有门、橱、木制品申专业家具厂生产，按现场实际尺寸定制</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·所有家具均选用现货或由专业家具厂生产，造型，材质须经设计认可</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·消防前室及疏散楼梯采用乙级防火门，管道井检修门采用丙级防火门，二层以上强、弱电室采用乙级防火门，底层配电间及消防控制室等设备间采用甲级防火门，防火卷帘耐火极限为 3 小时．</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·金属门窗框和副框的安装必须牢固。预埋件的数量、位置、埋设方式、与框的连接方式必须符合设计要求。金属门窗必须安装牢固，并应开关灵活、关闭严密，无倒翘。推拉门窗扇必须有防脱落措施。</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·塑料门窗固定片或膨胀螺栓的数量与位置应正确，连接方式应符合设计要求，固定点应距窗角、中横框、中竖框150~200mm，固定点间距不应大于600mm。</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·门窗窗框与墙体间缝隙应采用闭孔弹性材料填嵌饱满，表面应采用密封胶密封。密封胶应粘接牢固，表面应光滑、顺直、无裂纹。</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·安装时窗的下框要比窗台高20mm，窗台内外高差≥20mm，外窗台坡度应≥10%，且不小于20mm，窗檐、鹰嘴坡度≥10%；滴水槽宽、深应≥1厘米；窗口上部应按要求做滴水线，下框应钻排水孔，并防止密封胶堵塞.</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3.7 灯具</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·所有灯具为现货（特种灯具采用专业灯具，为专业厂家定制），造型材质须经设计师认可。</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·灯槽选用日光灯（基色）灯管安装前后搭接，防止暗区生产，部分造型复杂的灯槽采用 PVC软管灯</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·吊灯安装时吊钩必须与结构固接。</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·潮湿部位为防潮灯具。</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3.8 隐蔽部位材料防火要求</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不改变建筑的防火等级，防火分区，及相关的消防设施</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3.8.1 装饰材料的选用：</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吊顶： A 级、 Bl 级</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墙面： A 级、 Bl 级、局部 B2 级</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地面： A 级、 Bl 级、 BZ 级</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3.8.2 所有木质材料基层涂刷防火涂料三度。</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3.8.3 所用钢构件涂刷钢结构防火漆三度．</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3.8.4 对电脑机房、资料库等不易用水扑救的房间采用烟烙烬气灭火。</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图纸尺寸若与实际不相符，旦及时与设计单位联系，以便能及时解决。</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本施工说明未说明部分均按照国家有关规范执行。</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设备需在吊顶开检修孔的，上人 500*500，不上人 300*300（现场定位）</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内粉刷无装修要求的房间砌块墙面双面 5 厚专用批土防霉防潮内墙涂料一底二度。 }</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平顶：无装修要求的房间平顶批嵌平整，防霉防潮涂料一底二度。</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走廊隔墙耐火等级为一小时。</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3.9不锈钢门套施工要点</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（1）电梯门套进行装饰施工前，结构墙面应平整，洞口尺寸符合要求，并找平。 </w:t>
      </w:r>
    </w:p>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（2）门套基层需固定牢固，竖向间距控制在200mm—400mm之间。</w:t>
      </w:r>
    </w:p>
    <w:p>
      <w:pPr>
        <w:widowControl/>
        <w:spacing w:line="360" w:lineRule="auto"/>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（3）门套表面应平整、洁净线条顺直、接缝严密、色泽一致，不得有裂纹、</w:t>
      </w:r>
      <w:r>
        <w:rPr>
          <w:rFonts w:hint="eastAsia" w:ascii="宋体" w:hAnsi="宋体" w:cs="宋体"/>
          <w:color w:val="000000" w:themeColor="text1"/>
          <w:kern w:val="0"/>
          <w:sz w:val="24"/>
          <w14:textFill>
            <w14:solidFill>
              <w14:schemeClr w14:val="tx1"/>
            </w14:solidFill>
          </w14:textFill>
        </w:rPr>
        <w:t>翘曲及损坏。</w:t>
      </w:r>
    </w:p>
    <w:bookmarkEnd w:id="0"/>
    <w:p>
      <w:pPr>
        <w:widowControl/>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4.装修相关执行规范：</w:t>
      </w:r>
    </w:p>
    <w:p>
      <w:pPr>
        <w:widowControl/>
        <w:spacing w:line="360" w:lineRule="auto"/>
        <w:jc w:val="left"/>
        <w:rPr>
          <w:rFonts w:ascii="宋体" w:hAnsi="宋体" w:cs="宋体"/>
          <w:color w:val="000000" w:themeColor="text1"/>
          <w14:textFill>
            <w14:solidFill>
              <w14:schemeClr w14:val="tx1"/>
            </w14:solidFill>
          </w14:textFill>
        </w:rPr>
      </w:pPr>
      <w:bookmarkStart w:id="1" w:name="_Hlk47344435"/>
      <w:r>
        <w:rPr>
          <w:rFonts w:hint="eastAsia" w:ascii="宋体" w:hAnsi="宋体" w:cs="宋体"/>
          <w:color w:val="000000" w:themeColor="text1"/>
          <w14:textFill>
            <w14:solidFill>
              <w14:schemeClr w14:val="tx1"/>
            </w14:solidFill>
          </w14:textFill>
        </w:rPr>
        <w:t>《建筑地面工程施工质量验收规范》             GB50209-2010 </w:t>
      </w:r>
    </w:p>
    <w:p>
      <w:pPr>
        <w:widowControl/>
        <w:spacing w:line="360" w:lineRule="auto"/>
        <w:jc w:val="lef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《建筑装饰装修工程质量验收标准》             GB/T50210-2018   </w:t>
      </w:r>
    </w:p>
    <w:p>
      <w:pPr>
        <w:widowControl/>
        <w:spacing w:line="360" w:lineRule="auto"/>
        <w:jc w:val="lef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《建筑防腐蚀工程施工规范》                   GB50212-2014 </w:t>
      </w:r>
    </w:p>
    <w:p>
      <w:pPr>
        <w:widowControl/>
        <w:spacing w:line="360" w:lineRule="auto"/>
        <w:jc w:val="lef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《建筑内部装修设计防火规范》                 GB50222-2017 </w:t>
      </w:r>
    </w:p>
    <w:p>
      <w:pPr>
        <w:widowControl/>
        <w:spacing w:line="360" w:lineRule="auto"/>
        <w:jc w:val="lef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《交流电气装置的接地设计规范》               GB/T 50065-2011</w:t>
      </w:r>
    </w:p>
    <w:p>
      <w:pPr>
        <w:widowControl/>
        <w:spacing w:line="360" w:lineRule="auto"/>
        <w:jc w:val="lef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《建筑工程施工质量验收统一标准》             GB50300—2013</w:t>
      </w:r>
    </w:p>
    <w:bookmarkEnd w:id="1"/>
    <w:p>
      <w:pPr>
        <w:widowControl/>
        <w:spacing w:line="360" w:lineRule="auto"/>
        <w:jc w:val="lef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《建筑电气工程施工质量验收规范》             GB50303-2015   </w:t>
      </w:r>
    </w:p>
    <w:p>
      <w:pPr>
        <w:widowControl/>
        <w:spacing w:line="360" w:lineRule="auto"/>
        <w:jc w:val="lef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《建筑给水排水及采暖工程施工质量验收规范》   GB50242-2002</w:t>
      </w:r>
    </w:p>
    <w:p>
      <w:pPr>
        <w:widowControl/>
        <w:spacing w:line="360" w:lineRule="auto"/>
        <w:jc w:val="left"/>
        <w:rPr>
          <w:rFonts w:ascii="宋体" w:hAnsi="宋体" w:cs="宋体"/>
          <w:color w:val="000000" w:themeColor="text1"/>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w:t>
      </w:r>
      <w:r>
        <w:rPr>
          <w:rFonts w:hint="eastAsia" w:ascii="宋体" w:hAnsi="宋体" w:cs="宋体"/>
          <w:color w:val="000000" w:themeColor="text1"/>
          <w14:textFill>
            <w14:solidFill>
              <w14:schemeClr w14:val="tx1"/>
            </w14:solidFill>
          </w14:textFill>
        </w:rPr>
        <w:t>建筑装饰装修工程质量验收标准》             GB50210-2018</w:t>
      </w:r>
    </w:p>
    <w:p>
      <w:pPr>
        <w:widowControl/>
        <w:spacing w:line="360" w:lineRule="auto"/>
        <w:jc w:val="lef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《建筑地面工程施工质量验收规范》             GB 50209-2010</w:t>
      </w:r>
    </w:p>
    <w:p>
      <w:pPr>
        <w:widowControl/>
        <w:spacing w:line="360" w:lineRule="auto"/>
        <w:jc w:val="lef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《建筑防腐蚀工程施工规范》                   GB 50212-2014</w:t>
      </w:r>
    </w:p>
    <w:p>
      <w:pPr>
        <w:widowControl/>
        <w:spacing w:line="360" w:lineRule="auto"/>
        <w:jc w:val="lef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《住宅装饰装修工程施工规范》                 GB50327-2001</w:t>
      </w:r>
    </w:p>
    <w:p>
      <w:pPr>
        <w:widowControl/>
        <w:spacing w:line="360" w:lineRule="auto"/>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《建筑内部装修防火施工及验收规范</w:t>
      </w:r>
      <w:bookmarkStart w:id="2" w:name="1"/>
      <w:bookmarkEnd w:id="2"/>
      <w:r>
        <w:rPr>
          <w:rFonts w:hint="eastAsia" w:ascii="宋体" w:hAnsi="宋体" w:eastAsia="宋体" w:cs="宋体"/>
          <w:color w:val="000000" w:themeColor="text1"/>
          <w14:textFill>
            <w14:solidFill>
              <w14:schemeClr w14:val="tx1"/>
            </w14:solidFill>
          </w14:textFill>
        </w:rPr>
        <w:t>》           GB 50354-2005</w:t>
      </w:r>
    </w:p>
    <w:p>
      <w:pPr>
        <w:widowControl/>
        <w:spacing w:line="360" w:lineRule="auto"/>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《民用建筑工程室内环境污染控制规范》GB 50325-2001</w:t>
      </w:r>
    </w:p>
    <w:p>
      <w:pPr>
        <w:widowControl/>
        <w:spacing w:line="360" w:lineRule="auto"/>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《建筑涂饰工程施工及验收规程》JGJ/T 29-2003</w:t>
      </w:r>
    </w:p>
    <w:p>
      <w:pPr>
        <w:widowControl/>
        <w:spacing w:line="360" w:lineRule="auto"/>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《建筑门窗工程检测技术规程 》JGJ/T 205-2010</w:t>
      </w:r>
    </w:p>
    <w:p>
      <w:pPr>
        <w:rPr>
          <w:color w:val="000000" w:themeColor="text1"/>
          <w14:textFill>
            <w14:solidFill>
              <w14:schemeClr w14:val="tx1"/>
            </w14:solidFill>
          </w14:textFil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74949"/>
    </w:sdtPr>
    <w:sdtContent>
      <w:p>
        <w:pPr>
          <w:pStyle w:val="6"/>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7D9D64"/>
    <w:multiLevelType w:val="singleLevel"/>
    <w:tmpl w:val="667D9D64"/>
    <w:lvl w:ilvl="0" w:tentative="0">
      <w:start w:val="5"/>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Y1YTdhOTRkMGEwNGQ3NjllZWNiMjMyYmU1YTkxYmYifQ=="/>
  </w:docVars>
  <w:rsids>
    <w:rsidRoot w:val="005E49CE"/>
    <w:rsid w:val="0005514A"/>
    <w:rsid w:val="001F1AE9"/>
    <w:rsid w:val="00310371"/>
    <w:rsid w:val="003911C6"/>
    <w:rsid w:val="005E49CE"/>
    <w:rsid w:val="008A2AAF"/>
    <w:rsid w:val="00A7775A"/>
    <w:rsid w:val="00B33C7F"/>
    <w:rsid w:val="00EC65B8"/>
    <w:rsid w:val="00F64809"/>
    <w:rsid w:val="00FF2CA2"/>
    <w:rsid w:val="02B50223"/>
    <w:rsid w:val="05875801"/>
    <w:rsid w:val="05BE2FC7"/>
    <w:rsid w:val="0A04498B"/>
    <w:rsid w:val="0AAE6712"/>
    <w:rsid w:val="15C72C05"/>
    <w:rsid w:val="17F468B8"/>
    <w:rsid w:val="1D750D86"/>
    <w:rsid w:val="1F662E42"/>
    <w:rsid w:val="21147AC5"/>
    <w:rsid w:val="29B5668F"/>
    <w:rsid w:val="2F5C01A6"/>
    <w:rsid w:val="302A1EDB"/>
    <w:rsid w:val="32A4020F"/>
    <w:rsid w:val="375B779B"/>
    <w:rsid w:val="39D91E06"/>
    <w:rsid w:val="3B4B3B0A"/>
    <w:rsid w:val="3D1157BF"/>
    <w:rsid w:val="40B120EE"/>
    <w:rsid w:val="444966C5"/>
    <w:rsid w:val="480934D8"/>
    <w:rsid w:val="4CDE3611"/>
    <w:rsid w:val="4D700028"/>
    <w:rsid w:val="510C673D"/>
    <w:rsid w:val="5434295C"/>
    <w:rsid w:val="5497211F"/>
    <w:rsid w:val="55A06D91"/>
    <w:rsid w:val="594B3AD1"/>
    <w:rsid w:val="5960230F"/>
    <w:rsid w:val="650F3467"/>
    <w:rsid w:val="78F80D1B"/>
    <w:rsid w:val="7A884DCA"/>
    <w:rsid w:val="7B1F2134"/>
    <w:rsid w:val="7C0844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line="360" w:lineRule="auto"/>
      <w:jc w:val="left"/>
      <w:outlineLvl w:val="1"/>
    </w:pPr>
    <w:rPr>
      <w:rFonts w:asciiTheme="majorHAnsi" w:hAnsiTheme="majorHAnsi" w:eastAsiaTheme="minorEastAsia" w:cstheme="majorBidi"/>
      <w:b/>
      <w:bCs/>
      <w:sz w:val="24"/>
      <w:szCs w:val="32"/>
    </w:rPr>
  </w:style>
  <w:style w:type="paragraph" w:styleId="3">
    <w:name w:val="heading 3"/>
    <w:basedOn w:val="1"/>
    <w:next w:val="1"/>
    <w:qFormat/>
    <w:uiPriority w:val="0"/>
    <w:pPr>
      <w:keepNext/>
      <w:keepLines/>
      <w:spacing w:line="360" w:lineRule="auto"/>
      <w:jc w:val="left"/>
      <w:outlineLvl w:val="2"/>
    </w:pPr>
    <w:rPr>
      <w:b/>
      <w:bCs/>
      <w:sz w:val="24"/>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rPr>
      <w:rFonts w:eastAsia="仿宋_GB2312"/>
      <w:sz w:val="28"/>
    </w:rPr>
  </w:style>
  <w:style w:type="paragraph" w:styleId="5">
    <w:name w:val="Plain Text"/>
    <w:basedOn w:val="1"/>
    <w:qFormat/>
    <w:uiPriority w:val="99"/>
    <w:rPr>
      <w:rFonts w:ascii="Calibri" w:hAnsi="Courier New"/>
      <w:kern w:val="0"/>
      <w:sz w:val="20"/>
      <w:szCs w:val="21"/>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Body Text First Indent"/>
    <w:basedOn w:val="4"/>
    <w:qFormat/>
    <w:uiPriority w:val="0"/>
    <w:pPr>
      <w:ind w:firstLine="420" w:firstLineChars="100"/>
    </w:pPr>
    <w:rPr>
      <w:rFonts w:eastAsia="宋体"/>
    </w:rPr>
  </w:style>
  <w:style w:type="paragraph" w:customStyle="1" w:styleId="10">
    <w:name w:val="样式 标题 2 + Times New Roman 四号 非加粗 段前: 5 磅 段后: 0 磅 行距: 固定值 20..."/>
    <w:basedOn w:val="2"/>
    <w:qFormat/>
    <w:uiPriority w:val="0"/>
    <w:pPr>
      <w:spacing w:before="100" w:line="400" w:lineRule="exact"/>
    </w:pPr>
    <w:rPr>
      <w:rFonts w:ascii="Times New Roman" w:hAnsi="Times New Roman" w:eastAsia="宋体" w:cs="宋体"/>
      <w:b w:val="0"/>
      <w:bCs w:val="0"/>
      <w:kern w:val="0"/>
      <w:sz w:val="28"/>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8020</Words>
  <Characters>8641</Characters>
  <Lines>64</Lines>
  <Paragraphs>18</Paragraphs>
  <TotalTime>0</TotalTime>
  <ScaleCrop>false</ScaleCrop>
  <LinksUpToDate>false</LinksUpToDate>
  <CharactersWithSpaces>8896</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2022-07-05T00:32:00Z</dcterms:created>
  <dc:creator>86151</dc:creator>
  <cp:lastModifiedBy>0</cp:lastModifiedBy>
  <dcterms:modified xsi:type="dcterms:W3CDTF">2022-08-04T09:06:14Z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3C9865DF864544AF9A1285BC4359B121</vt:lpwstr>
  </property>
</Properties>
</file>