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val="0"/>
          <w:sz w:val="44"/>
          <w:szCs w:val="44"/>
        </w:rPr>
      </w:pPr>
      <w:r>
        <w:rPr>
          <w:rFonts w:hint="eastAsia" w:ascii="仿宋" w:hAnsi="仿宋" w:eastAsia="仿宋" w:cs="仿宋"/>
          <w:b/>
          <w:bCs w:val="0"/>
          <w:sz w:val="44"/>
          <w:szCs w:val="44"/>
          <w:lang w:val="en-US" w:eastAsia="zh-CN"/>
        </w:rPr>
        <w:t>大庆</w:t>
      </w:r>
      <w:r>
        <w:rPr>
          <w:rFonts w:hint="eastAsia" w:ascii="仿宋" w:hAnsi="仿宋" w:eastAsia="仿宋" w:cs="仿宋"/>
          <w:b/>
          <w:bCs w:val="0"/>
          <w:sz w:val="44"/>
          <w:szCs w:val="44"/>
        </w:rPr>
        <w:t>生活垃圾焚烧发电项目</w:t>
      </w:r>
    </w:p>
    <w:p>
      <w:pPr>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锅炉清灰打焦项目</w:t>
      </w:r>
    </w:p>
    <w:p>
      <w:pPr>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val="0"/>
          <w:sz w:val="44"/>
          <w:szCs w:val="44"/>
          <w:lang w:val="en-US" w:eastAsia="zh-CN"/>
        </w:rPr>
      </w:pPr>
    </w:p>
    <w:p>
      <w:pPr>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val="0"/>
          <w:sz w:val="44"/>
          <w:szCs w:val="44"/>
          <w:lang w:val="en-US" w:eastAsia="zh-CN"/>
        </w:rPr>
      </w:pPr>
    </w:p>
    <w:p>
      <w:pPr>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val="0"/>
          <w:sz w:val="44"/>
          <w:szCs w:val="44"/>
          <w:lang w:val="en-US" w:eastAsia="zh-CN"/>
        </w:rPr>
      </w:pPr>
    </w:p>
    <w:p>
      <w:pPr>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val="0"/>
          <w:sz w:val="44"/>
          <w:szCs w:val="44"/>
          <w:lang w:eastAsia="zh-CN"/>
        </w:rPr>
      </w:pPr>
      <w:r>
        <w:rPr>
          <w:rFonts w:hint="eastAsia" w:ascii="仿宋" w:hAnsi="仿宋" w:eastAsia="仿宋" w:cs="仿宋"/>
          <w:b/>
          <w:bCs w:val="0"/>
          <w:sz w:val="44"/>
          <w:szCs w:val="44"/>
          <w:lang w:eastAsia="zh-CN"/>
        </w:rPr>
        <w:t>技术规格书</w:t>
      </w:r>
    </w:p>
    <w:p>
      <w:pPr>
        <w:pStyle w:val="5"/>
        <w:rPr>
          <w:rFonts w:hint="eastAsia" w:ascii="仿宋" w:hAnsi="仿宋" w:eastAsia="仿宋" w:cs="仿宋"/>
          <w:b/>
          <w:bCs w:val="0"/>
          <w:sz w:val="44"/>
          <w:szCs w:val="44"/>
          <w:lang w:eastAsia="zh-CN"/>
        </w:rPr>
      </w:pPr>
    </w:p>
    <w:p>
      <w:pPr>
        <w:rPr>
          <w:rFonts w:hint="eastAsia" w:ascii="仿宋" w:hAnsi="仿宋" w:eastAsia="仿宋" w:cs="仿宋"/>
          <w:b/>
          <w:bCs w:val="0"/>
          <w:sz w:val="44"/>
          <w:szCs w:val="44"/>
          <w:lang w:eastAsia="zh-CN"/>
        </w:rPr>
      </w:pPr>
    </w:p>
    <w:p>
      <w:pPr>
        <w:pStyle w:val="5"/>
        <w:rPr>
          <w:rFonts w:hint="eastAsia"/>
          <w:lang w:eastAsia="zh-CN"/>
        </w:rPr>
      </w:pPr>
    </w:p>
    <w:p>
      <w:pPr>
        <w:spacing w:line="720" w:lineRule="auto"/>
        <w:jc w:val="center"/>
        <w:rPr>
          <w:rFonts w:hint="eastAsia" w:ascii="仿宋" w:hAnsi="仿宋" w:eastAsia="仿宋" w:cs="仿宋"/>
          <w:b/>
          <w:bCs w:val="0"/>
          <w:kern w:val="2"/>
          <w:sz w:val="44"/>
          <w:szCs w:val="44"/>
          <w:lang w:eastAsia="zh-CN"/>
        </w:rPr>
      </w:pPr>
    </w:p>
    <w:p>
      <w:pPr>
        <w:spacing w:line="720" w:lineRule="auto"/>
        <w:jc w:val="center"/>
        <w:rPr>
          <w:rFonts w:hint="eastAsia" w:ascii="仿宋" w:hAnsi="仿宋" w:eastAsia="仿宋" w:cs="仿宋"/>
          <w:b/>
          <w:bCs w:val="0"/>
          <w:kern w:val="2"/>
          <w:sz w:val="44"/>
          <w:szCs w:val="44"/>
          <w:lang w:eastAsia="zh-CN"/>
        </w:rPr>
      </w:pPr>
    </w:p>
    <w:p>
      <w:pPr>
        <w:spacing w:line="720" w:lineRule="auto"/>
        <w:jc w:val="center"/>
        <w:rPr>
          <w:rFonts w:hint="eastAsia" w:ascii="仿宋" w:hAnsi="仿宋" w:eastAsia="仿宋" w:cs="仿宋"/>
          <w:b/>
          <w:bCs w:val="0"/>
          <w:kern w:val="2"/>
          <w:sz w:val="44"/>
          <w:szCs w:val="44"/>
          <w:lang w:eastAsia="zh-CN"/>
        </w:rPr>
      </w:pPr>
    </w:p>
    <w:p>
      <w:pPr>
        <w:spacing w:line="720" w:lineRule="auto"/>
        <w:jc w:val="center"/>
        <w:rPr>
          <w:rFonts w:hint="eastAsia" w:ascii="仿宋" w:hAnsi="仿宋" w:eastAsia="仿宋" w:cs="仿宋"/>
          <w:b/>
          <w:bCs w:val="0"/>
          <w:kern w:val="2"/>
          <w:sz w:val="44"/>
          <w:szCs w:val="44"/>
          <w:lang w:eastAsia="zh-CN"/>
        </w:rPr>
      </w:pPr>
    </w:p>
    <w:p>
      <w:pPr>
        <w:pStyle w:val="5"/>
        <w:jc w:val="center"/>
        <w:rPr>
          <w:rFonts w:hint="eastAsia" w:ascii="仿宋" w:hAnsi="仿宋" w:eastAsia="仿宋" w:cs="仿宋"/>
          <w:b/>
          <w:bCs w:val="0"/>
          <w:kern w:val="2"/>
          <w:sz w:val="44"/>
          <w:szCs w:val="44"/>
          <w:lang w:val="en-US" w:eastAsia="zh-CN"/>
        </w:rPr>
      </w:pPr>
      <w:r>
        <w:rPr>
          <w:rFonts w:hint="eastAsia" w:ascii="仿宋" w:hAnsi="仿宋" w:eastAsia="仿宋" w:cs="仿宋"/>
          <w:b/>
          <w:bCs w:val="0"/>
          <w:kern w:val="2"/>
          <w:sz w:val="44"/>
          <w:szCs w:val="44"/>
          <w:lang w:eastAsia="zh-CN"/>
        </w:rPr>
        <w:t>大庆城控电力有限公司</w:t>
      </w:r>
    </w:p>
    <w:p>
      <w:pPr>
        <w:pStyle w:val="5"/>
        <w:jc w:val="center"/>
        <w:rPr>
          <w:rFonts w:hint="eastAsia" w:ascii="仿宋" w:hAnsi="仿宋" w:eastAsia="仿宋" w:cs="仿宋"/>
          <w:b/>
          <w:bCs w:val="0"/>
          <w:kern w:val="2"/>
          <w:sz w:val="44"/>
          <w:szCs w:val="44"/>
          <w:lang w:val="en-US" w:eastAsia="zh-CN"/>
        </w:rPr>
      </w:pPr>
      <w:r>
        <w:rPr>
          <w:rFonts w:hint="eastAsia" w:ascii="仿宋" w:hAnsi="仿宋" w:eastAsia="仿宋" w:cs="仿宋"/>
          <w:b/>
          <w:bCs w:val="0"/>
          <w:kern w:val="2"/>
          <w:sz w:val="44"/>
          <w:szCs w:val="44"/>
          <w:lang w:val="en-US" w:eastAsia="zh-CN"/>
        </w:rPr>
        <w:t>2024年01月</w:t>
      </w:r>
    </w:p>
    <w:p>
      <w:pPr>
        <w:rPr>
          <w:rFonts w:hint="eastAsia" w:ascii="仿宋" w:hAnsi="仿宋" w:eastAsia="仿宋" w:cs="仿宋"/>
          <w:b/>
          <w:bCs w:val="0"/>
          <w:kern w:val="2"/>
          <w:sz w:val="28"/>
          <w:szCs w:val="28"/>
          <w:lang w:val="en-US" w:eastAsia="zh-CN"/>
        </w:rPr>
      </w:pPr>
      <w:r>
        <w:rPr>
          <w:rFonts w:hint="eastAsia" w:ascii="仿宋" w:hAnsi="仿宋" w:eastAsia="仿宋" w:cs="仿宋"/>
          <w:b/>
          <w:bCs w:val="0"/>
          <w:kern w:val="2"/>
          <w:sz w:val="28"/>
          <w:szCs w:val="28"/>
          <w:lang w:val="en-US" w:eastAsia="zh-CN"/>
        </w:rPr>
        <w:br w:type="page"/>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项目</w:t>
      </w:r>
      <w:bookmarkStart w:id="0" w:name="_Hlk134707130"/>
      <w:r>
        <w:rPr>
          <w:rFonts w:hint="eastAsia" w:ascii="仿宋" w:hAnsi="仿宋" w:eastAsia="仿宋" w:cs="仿宋"/>
          <w:b/>
          <w:bCs w:val="0"/>
          <w:sz w:val="28"/>
          <w:szCs w:val="28"/>
          <w:lang w:val="en-US" w:eastAsia="zh-CN"/>
        </w:rPr>
        <w:t>概述</w:t>
      </w:r>
    </w:p>
    <w:p>
      <w:pPr>
        <w:pStyle w:val="9"/>
        <w:spacing w:line="360" w:lineRule="auto"/>
        <w:ind w:firstLine="560" w:firstLineChars="200"/>
        <w:jc w:val="both"/>
        <w:rPr>
          <w:rStyle w:val="7"/>
          <w:rFonts w:hint="eastAsia" w:ascii="仿宋" w:hAnsi="仿宋" w:eastAsia="仿宋" w:cs="仿宋"/>
          <w:color w:val="000000"/>
          <w:sz w:val="28"/>
          <w:szCs w:val="28"/>
          <w:lang w:eastAsia="zh-CN"/>
        </w:rPr>
      </w:pPr>
      <w:r>
        <w:rPr>
          <w:rStyle w:val="7"/>
          <w:rFonts w:hint="eastAsia" w:ascii="仿宋" w:hAnsi="仿宋" w:eastAsia="仿宋" w:cs="仿宋"/>
          <w:color w:val="000000"/>
          <w:sz w:val="28"/>
          <w:szCs w:val="28"/>
          <w:lang w:eastAsia="zh-CN"/>
        </w:rPr>
        <w:t>项目名称：</w:t>
      </w:r>
      <w:r>
        <w:rPr>
          <w:rFonts w:hint="eastAsia" w:ascii="仿宋" w:hAnsi="仿宋" w:eastAsia="仿宋" w:cs="仿宋"/>
          <w:b w:val="0"/>
          <w:bCs/>
          <w:kern w:val="2"/>
          <w:sz w:val="28"/>
          <w:szCs w:val="28"/>
          <w:lang w:eastAsia="zh-CN"/>
        </w:rPr>
        <w:t>大庆城控电力有限公司</w:t>
      </w:r>
    </w:p>
    <w:p>
      <w:pPr>
        <w:pStyle w:val="11"/>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Style w:val="7"/>
          <w:rFonts w:hint="eastAsia" w:ascii="仿宋" w:hAnsi="仿宋" w:eastAsia="仿宋" w:cs="仿宋"/>
          <w:color w:val="000000"/>
          <w:sz w:val="28"/>
          <w:szCs w:val="28"/>
          <w:lang w:eastAsia="zh-CN"/>
        </w:rPr>
      </w:pPr>
      <w:r>
        <w:rPr>
          <w:rStyle w:val="7"/>
          <w:rFonts w:hint="eastAsia" w:ascii="仿宋" w:hAnsi="仿宋" w:eastAsia="仿宋" w:cs="仿宋"/>
          <w:color w:val="000000"/>
          <w:sz w:val="28"/>
          <w:szCs w:val="28"/>
          <w:lang w:eastAsia="zh-CN"/>
        </w:rPr>
        <w:t>工程厂址：</w:t>
      </w:r>
      <w:r>
        <w:rPr>
          <w:rFonts w:hint="eastAsia" w:ascii="仿宋" w:hAnsi="仿宋" w:eastAsia="仿宋" w:cs="仿宋"/>
          <w:b w:val="0"/>
          <w:bCs w:val="0"/>
          <w:sz w:val="28"/>
          <w:szCs w:val="28"/>
          <w:lang w:val="en-US" w:eastAsia="zh-CN"/>
        </w:rPr>
        <w:t>大庆</w:t>
      </w:r>
      <w:r>
        <w:rPr>
          <w:rFonts w:hint="eastAsia" w:ascii="仿宋" w:hAnsi="仿宋" w:eastAsia="仿宋" w:cs="仿宋"/>
          <w:b w:val="0"/>
          <w:bCs w:val="0"/>
          <w:sz w:val="28"/>
          <w:szCs w:val="28"/>
        </w:rPr>
        <w:t>市生活垃圾焚烧发电项目位于</w:t>
      </w:r>
      <w:r>
        <w:rPr>
          <w:rFonts w:hint="eastAsia" w:ascii="仿宋" w:hAnsi="仿宋" w:eastAsia="仿宋" w:cs="仿宋"/>
          <w:b w:val="0"/>
          <w:bCs w:val="0"/>
          <w:sz w:val="28"/>
          <w:szCs w:val="28"/>
          <w:u w:val="none"/>
        </w:rPr>
        <w:t>黑龙江省大庆市龙凤区刘高手村666号</w:t>
      </w:r>
    </w:p>
    <w:p>
      <w:pPr>
        <w:numPr>
          <w:ilvl w:val="0"/>
          <w:numId w:val="0"/>
        </w:numPr>
        <w:ind w:firstLine="560" w:firstLineChars="200"/>
        <w:rPr>
          <w:rFonts w:hint="eastAsia" w:ascii="仿宋" w:hAnsi="仿宋" w:eastAsia="仿宋" w:cs="仿宋"/>
          <w:b w:val="0"/>
          <w:bCs w:val="0"/>
          <w:sz w:val="28"/>
          <w:szCs w:val="28"/>
        </w:rPr>
      </w:pPr>
      <w:r>
        <w:rPr>
          <w:rStyle w:val="7"/>
          <w:rFonts w:hint="eastAsia" w:ascii="仿宋" w:hAnsi="仿宋" w:eastAsia="仿宋" w:cs="仿宋"/>
          <w:color w:val="000000"/>
          <w:kern w:val="0"/>
          <w:sz w:val="28"/>
          <w:szCs w:val="28"/>
          <w:lang w:eastAsia="zh-CN"/>
        </w:rPr>
        <w:t>工程规模：</w:t>
      </w:r>
      <w:r>
        <w:rPr>
          <w:rFonts w:hint="eastAsia" w:ascii="仿宋" w:hAnsi="仿宋" w:eastAsia="仿宋" w:cs="仿宋"/>
          <w:b w:val="0"/>
          <w:bCs w:val="0"/>
          <w:sz w:val="28"/>
          <w:szCs w:val="28"/>
        </w:rPr>
        <w:t>建设规模为</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00t/d焚烧炉+</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台1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MW汽轮机+</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台1</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MW发电机。工程设计单位为中国轻工业广州工程有限公司。焚烧炉采用东方电气集团东方锅炉有限公司生产的机械炉排炉，余热锅炉采用南通万达锅炉有限公司生产的单汽包、自然循环、卧式结构余热锅炉。汽轮机为上海汽轮机厂有限公司生产的N15-3.8/395型中温中压凝气式汽轮机，发电机为山东济南发电设备厂有限公司生产的QF3N-18-2型发电机。工程同步建设“SNCR+半干法+干法+活性炭喷射系统+布袋除尘器除尘+预留SCR脱硝安装场地”的烟气处理系统。本项目的污水处理工艺组合确定为“渗沥液池内输送泵+转鼓格栅机+调节池+厌氧(UASB)+膜生物反应器(MBR)+纳滤(NF) +反渗透(RO) （NF浓缩液采用两级物料膜处理进行减量化）”，RO浓缩液用于石灰制浆和飞灰稳定化。</w:t>
      </w:r>
    </w:p>
    <w:bookmarkEnd w:id="0"/>
    <w:p>
      <w:pPr>
        <w:pStyle w:val="2"/>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二、施工</w:t>
      </w:r>
      <w:r>
        <w:rPr>
          <w:rFonts w:hint="eastAsia" w:ascii="仿宋" w:hAnsi="仿宋" w:eastAsia="仿宋" w:cs="仿宋"/>
          <w:b/>
          <w:bCs w:val="0"/>
          <w:sz w:val="28"/>
          <w:szCs w:val="28"/>
        </w:rPr>
        <w:t>范围及内容（包含但不限于下列内容）</w:t>
      </w:r>
    </w:p>
    <w:p>
      <w:pPr>
        <w:spacing w:line="360" w:lineRule="auto"/>
        <w:ind w:firstLine="560" w:firstLineChars="200"/>
        <w:rPr>
          <w:rFonts w:hint="eastAsia" w:ascii="仿宋" w:hAnsi="仿宋" w:eastAsia="仿宋" w:cs="仿宋"/>
          <w:bCs/>
          <w:sz w:val="28"/>
          <w:szCs w:val="28"/>
          <w:highlight w:val="none"/>
          <w:lang w:eastAsia="zh-CN"/>
        </w:rPr>
      </w:pPr>
      <w:bookmarkStart w:id="1" w:name="_Toc358122326"/>
      <w:r>
        <w:rPr>
          <w:rFonts w:hint="eastAsia" w:ascii="仿宋" w:hAnsi="仿宋" w:eastAsia="仿宋" w:cs="仿宋"/>
          <w:bCs/>
          <w:sz w:val="28"/>
          <w:szCs w:val="28"/>
          <w:highlight w:val="none"/>
          <w:lang w:val="en-US" w:eastAsia="zh-CN"/>
        </w:rPr>
        <w:t>1.</w:t>
      </w:r>
      <w:r>
        <w:rPr>
          <w:rFonts w:hint="eastAsia" w:ascii="仿宋" w:hAnsi="仿宋" w:eastAsia="仿宋" w:cs="仿宋"/>
          <w:bCs/>
          <w:sz w:val="28"/>
          <w:szCs w:val="28"/>
          <w:highlight w:val="none"/>
          <w:lang w:eastAsia="zh-CN"/>
        </w:rPr>
        <w:t xml:space="preserve">锅炉炉膛一二烟道挂焦挂灰清理、四周水冷壁、顶 棚管、拉稀管、两侧墙可塑料 部分，前后拱浇注料部分、 二次风孔喷嘴积灰结焦进行清理；                                  </w:t>
      </w:r>
    </w:p>
    <w:p>
      <w:pPr>
        <w:spacing w:line="360" w:lineRule="auto"/>
        <w:ind w:firstLine="560" w:firstLineChars="200"/>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lang w:eastAsia="zh-CN"/>
        </w:rPr>
        <w:t>三烟道蒸发器、高、中、低温过热器、省煤器挂焦挂灰清理；</w:t>
      </w:r>
    </w:p>
    <w:p>
      <w:pPr>
        <w:spacing w:line="360" w:lineRule="auto"/>
        <w:ind w:firstLine="560" w:firstLineChars="200"/>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lang w:eastAsia="zh-CN"/>
        </w:rPr>
        <w:t>水平烟道挂焦挂灰清理；</w:t>
      </w:r>
    </w:p>
    <w:p>
      <w:pPr>
        <w:spacing w:line="360" w:lineRule="auto"/>
        <w:ind w:firstLine="560" w:firstLineChars="200"/>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lang w:eastAsia="zh-CN"/>
        </w:rPr>
        <w:t>反应塔及布袋除尘器清灰及两者之间连通风道清灰；</w:t>
      </w:r>
    </w:p>
    <w:p>
      <w:pPr>
        <w:spacing w:line="360" w:lineRule="auto"/>
        <w:ind w:firstLine="560" w:firstLineChars="200"/>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lang w:eastAsia="zh-CN"/>
        </w:rPr>
        <w:t>燃烧风室及出渣机清理；</w:t>
      </w:r>
    </w:p>
    <w:p>
      <w:pPr>
        <w:spacing w:line="360" w:lineRule="auto"/>
        <w:ind w:firstLine="560" w:firstLineChars="200"/>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6.</w:t>
      </w:r>
      <w:r>
        <w:rPr>
          <w:rFonts w:hint="eastAsia" w:ascii="仿宋" w:hAnsi="仿宋" w:eastAsia="仿宋" w:cs="仿宋"/>
          <w:bCs/>
          <w:sz w:val="28"/>
          <w:szCs w:val="28"/>
          <w:highlight w:val="none"/>
          <w:lang w:eastAsia="zh-CN"/>
        </w:rPr>
        <w:t>清灰打焦完工卫生清理（包括栏杆、平台上的积灰），飞灰收集到灰仓，炉渣运送到渣库。</w:t>
      </w:r>
    </w:p>
    <w:p>
      <w:pPr>
        <w:pStyle w:val="5"/>
        <w:ind w:firstLine="48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7.炉膛一二烟道挂焦挂灰清理、四周水冷壁、顶 棚管、拉稀管、两侧墙搭脚手架子。</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8.水平烟道（1-9）搭脚手架子。</w:t>
      </w:r>
    </w:p>
    <w:p>
      <w:pPr>
        <w:pStyle w:val="5"/>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9.三烟道蒸发器、高、中、低温过热器搭脚手架子。</w:t>
      </w:r>
    </w:p>
    <w:bookmarkEnd w:id="1"/>
    <w:p>
      <w:pPr>
        <w:pStyle w:val="2"/>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三、施工</w:t>
      </w:r>
      <w:r>
        <w:rPr>
          <w:rFonts w:hint="eastAsia" w:ascii="仿宋" w:hAnsi="仿宋" w:eastAsia="仿宋" w:cs="仿宋"/>
          <w:b/>
          <w:bCs w:val="0"/>
          <w:sz w:val="28"/>
          <w:szCs w:val="28"/>
        </w:rPr>
        <w:t>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 按照招标人公司相关规定开展工作，入厂工作前需经过招标方安全培训方可开展工作，并设专职负责人监护。</w:t>
      </w:r>
    </w:p>
    <w:p>
      <w:pPr>
        <w:pStyle w:val="10"/>
        <w:numPr>
          <w:ilvl w:val="0"/>
          <w:numId w:val="0"/>
        </w:numPr>
        <w:ind w:firstLine="560" w:firstLineChars="200"/>
        <w:rPr>
          <w:rFonts w:hint="eastAsia"/>
          <w:lang w:val="en-US" w:eastAsia="zh-CN"/>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乙方必须遵守甲方生产检修计划的安排，服从甲方调度，</w:t>
      </w:r>
      <w:r>
        <w:rPr>
          <w:rFonts w:hint="eastAsia" w:ascii="仿宋" w:hAnsi="仿宋" w:eastAsia="仿宋" w:cs="仿宋"/>
          <w:sz w:val="28"/>
          <w:szCs w:val="28"/>
          <w:lang w:eastAsia="zh-CN"/>
        </w:rPr>
        <w:t>要求清灰作业分两批人进行两班倒，清灰人数不能低于</w:t>
      </w:r>
      <w:r>
        <w:rPr>
          <w:rFonts w:hint="eastAsia" w:ascii="仿宋" w:hAnsi="仿宋" w:eastAsia="仿宋" w:cs="仿宋"/>
          <w:sz w:val="28"/>
          <w:szCs w:val="28"/>
          <w:lang w:val="en-US" w:eastAsia="zh-CN"/>
        </w:rPr>
        <w:t>16人，</w:t>
      </w:r>
      <w:r>
        <w:rPr>
          <w:rFonts w:hint="eastAsia" w:ascii="仿宋" w:hAnsi="仿宋" w:eastAsia="仿宋" w:cs="仿宋"/>
          <w:sz w:val="28"/>
          <w:szCs w:val="28"/>
        </w:rPr>
        <w:t>每次</w:t>
      </w:r>
      <w:r>
        <w:rPr>
          <w:rFonts w:hint="eastAsia" w:ascii="仿宋" w:hAnsi="仿宋" w:eastAsia="仿宋" w:cs="仿宋"/>
          <w:sz w:val="28"/>
          <w:szCs w:val="28"/>
          <w:lang w:eastAsia="zh-CN"/>
        </w:rPr>
        <w:t>一烟道内</w:t>
      </w:r>
      <w:r>
        <w:rPr>
          <w:rFonts w:hint="eastAsia" w:ascii="仿宋" w:hAnsi="仿宋" w:eastAsia="仿宋" w:cs="仿宋"/>
          <w:sz w:val="28"/>
          <w:szCs w:val="28"/>
        </w:rPr>
        <w:t>清灰打焦总时长原则上不超过72小时</w:t>
      </w:r>
      <w:r>
        <w:rPr>
          <w:rFonts w:hint="eastAsia" w:ascii="仿宋" w:hAnsi="仿宋" w:eastAsia="仿宋" w:cs="仿宋"/>
          <w:sz w:val="28"/>
          <w:szCs w:val="28"/>
          <w:lang w:eastAsia="zh-CN"/>
        </w:rPr>
        <w:t>（自一烟道内具备打焦条件算起）</w:t>
      </w:r>
      <w:r>
        <w:rPr>
          <w:rFonts w:hint="eastAsia" w:ascii="仿宋" w:hAnsi="仿宋" w:eastAsia="仿宋" w:cs="仿宋"/>
          <w:sz w:val="28"/>
          <w:szCs w:val="28"/>
        </w:rPr>
        <w:t>，确保甲方检修工作的安全、及时进行。</w:t>
      </w:r>
      <w:bookmarkStart w:id="2" w:name="_GoBack"/>
      <w:bookmarkEnd w:id="2"/>
    </w:p>
    <w:p>
      <w:pPr>
        <w:pStyle w:val="10"/>
        <w:numPr>
          <w:ilvl w:val="0"/>
          <w:numId w:val="0"/>
        </w:numPr>
        <w:ind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 乙方</w:t>
      </w:r>
      <w:r>
        <w:rPr>
          <w:rFonts w:hint="eastAsia" w:ascii="仿宋" w:hAnsi="仿宋" w:eastAsia="仿宋" w:cs="仿宋"/>
          <w:sz w:val="28"/>
          <w:szCs w:val="28"/>
        </w:rPr>
        <w:t>每项工作完成后应及时通知甲方进行验收。如甲方验收不合格，乙方应立即返工。乙方在返工之日起1日内完工，并通知甲方再次验收。如再次验收不合格的，甲方有权终止本合同，并视情况支付验收合格部分的承包费用。但乙方须向甲方支付未验收合格部分相应费用20%的违约金，如给甲方造成损失的，应予赔偿。</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bCs/>
          <w:sz w:val="28"/>
          <w:szCs w:val="28"/>
          <w:highlight w:val="none"/>
          <w:lang w:val="en-US" w:eastAsia="zh-CN"/>
        </w:rPr>
        <w:t xml:space="preserve">4. </w:t>
      </w:r>
      <w:r>
        <w:rPr>
          <w:rFonts w:hint="eastAsia" w:ascii="仿宋" w:hAnsi="仿宋" w:eastAsia="仿宋" w:cs="仿宋"/>
          <w:sz w:val="28"/>
          <w:szCs w:val="28"/>
        </w:rPr>
        <w:t>乙方因清灰打焦所用工具和物资及劳保用品等均由乙方负责。</w:t>
      </w:r>
    </w:p>
    <w:p>
      <w:pPr>
        <w:pStyle w:val="1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5. </w:t>
      </w:r>
      <w:r>
        <w:rPr>
          <w:rFonts w:hint="eastAsia" w:ascii="仿宋" w:hAnsi="仿宋" w:eastAsia="仿宋" w:cs="仿宋"/>
          <w:sz w:val="28"/>
          <w:szCs w:val="28"/>
        </w:rPr>
        <w:t>施工所有的工器具、劳保用品(包含个人劳保)由乙方提供，其中甲方负责在打焦区域外接入安全电压等级的照明，打焦区域内部有施工单位自行准备相应的头灯进行照明作业。清灰打焦场所的照明灯具的电压必须符合电力行业安规规定的电压等级，甲方提供施工现场电源、水源及压缩空气气源。</w:t>
      </w:r>
    </w:p>
    <w:p>
      <w:pPr>
        <w:pStyle w:val="1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6. </w:t>
      </w:r>
      <w:r>
        <w:rPr>
          <w:rFonts w:hint="eastAsia" w:ascii="仿宋" w:hAnsi="仿宋" w:eastAsia="仿宋" w:cs="仿宋"/>
          <w:sz w:val="28"/>
          <w:szCs w:val="28"/>
        </w:rPr>
        <w:t>施工时间由甲方根据生产情况和停炉时间确定锅炉清灰日期。待停炉后具备锅炉清灰条件时，甲方提前24小时以电话或微信的方式通知乙方负责人进场进行施工。</w:t>
      </w:r>
    </w:p>
    <w:p>
      <w:pPr>
        <w:pStyle w:val="10"/>
        <w:ind w:firstLine="560" w:firstLineChars="200"/>
        <w:rPr>
          <w:rFonts w:hint="eastAsia"/>
        </w:rPr>
      </w:pPr>
      <w:r>
        <w:rPr>
          <w:rFonts w:hint="eastAsia" w:ascii="仿宋" w:hAnsi="仿宋" w:eastAsia="仿宋" w:cs="仿宋"/>
          <w:sz w:val="28"/>
          <w:szCs w:val="28"/>
          <w:lang w:val="en-US" w:eastAsia="zh-CN"/>
        </w:rPr>
        <w:t xml:space="preserve">7. </w:t>
      </w:r>
      <w:r>
        <w:rPr>
          <w:rFonts w:hint="eastAsia" w:ascii="仿宋" w:hAnsi="仿宋" w:eastAsia="仿宋" w:cs="仿宋"/>
          <w:sz w:val="28"/>
          <w:szCs w:val="28"/>
        </w:rPr>
        <w:t>本工程采用包工包料及包安全的方式，乙方负责服务范围内的清灰打焦和脚手架搭设和拆除工作，甲方无偿提供现场供电和供压缩压气，劳保用品（包括个人劳保）、辅材、耗材、清灰工具由乙方负责。</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8. 所有入厂工作人员要购买保险并备查。</w:t>
      </w:r>
    </w:p>
    <w:p>
      <w:pPr>
        <w:pStyle w:val="13"/>
        <w:numPr>
          <w:ilvl w:val="1"/>
          <w:numId w:val="0"/>
        </w:numPr>
        <w:outlineLvl w:val="0"/>
        <w:rPr>
          <w:rFonts w:hint="eastAsia" w:ascii="仿宋" w:hAnsi="仿宋" w:eastAsia="仿宋" w:cs="仿宋"/>
          <w:b/>
          <w:bCs w:val="0"/>
          <w:sz w:val="28"/>
          <w:szCs w:val="28"/>
        </w:rPr>
      </w:pPr>
      <w:r>
        <w:rPr>
          <w:rFonts w:hint="eastAsia" w:ascii="仿宋" w:hAnsi="仿宋" w:eastAsia="仿宋" w:cs="仿宋"/>
          <w:b/>
          <w:bCs w:val="0"/>
        </w:rPr>
        <w:t>四、施工技术和质量要求</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清灰打焦时必须保证人员、工器具足够，对锅炉炉膛一二烟道，三烟道蒸发器、高、中、低温过热器、省煤器，水平烟道，反应塔及布袋除尘器，燃烧风室及出渣机等清理项目作业完成（具体清理项目根据甲方要求），不得分批执行延误后面检修和升炉时间。</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乙方必须保证见到水冷壁管和鳍片及设备本色，打焦过程中不得损坏炉膛的浇注料和热工仪表和其它设备，否则赔偿设备维修和误工费用，每次清理完后，炉膛温度、水平烟道入口烟温应恢复到电厂标准。</w:t>
      </w:r>
    </w:p>
    <w:p>
      <w:pPr>
        <w:ind w:firstLine="560" w:firstLineChars="200"/>
        <w:jc w:val="left"/>
        <w:rPr>
          <w:rFonts w:hint="eastAsia" w:ascii="仿宋" w:hAnsi="仿宋" w:eastAsia="仿宋" w:cs="仿宋"/>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 xml:space="preserve"> </w:t>
      </w:r>
      <w:r>
        <w:rPr>
          <w:rFonts w:hint="eastAsia" w:ascii="仿宋" w:hAnsi="仿宋" w:eastAsia="仿宋" w:cs="仿宋"/>
          <w:sz w:val="28"/>
          <w:szCs w:val="28"/>
        </w:rPr>
        <w:t>乙方工作需遵循工完料尽场地清的原则。各烟道放下的灰渣清理干净，清灰打焦过程中采取措施保证现场不能扬灰污染环境，工作过程中洒落到其他地方及设备上的积灰必须清扫干净，清理的积灰必须按照甲方指定的地点堆放，打焦过程中须采取保护炉排的相关措施。清灰打焦结束后工作场所及相关设备恢复原状（包括人孔门密封等）。</w:t>
      </w:r>
    </w:p>
    <w:p>
      <w:pPr>
        <w:pStyle w:val="12"/>
        <w:ind w:firstLine="56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乙方在搭设脚手架必须符合《建筑施工扣件式脚手架安全技术规范》JGJ130-2021等规定，服从电厂的指挥，安全作业，不得影响其它检修工作的进度。</w:t>
      </w:r>
    </w:p>
    <w:p>
      <w:pPr>
        <w:pStyle w:val="14"/>
        <w:numPr>
          <w:ilvl w:val="2"/>
          <w:numId w:val="0"/>
        </w:numPr>
        <w:ind w:leftChars="0"/>
        <w:rPr>
          <w:rFonts w:hint="eastAsia" w:ascii="仿宋" w:hAnsi="仿宋" w:eastAsia="仿宋" w:cs="仿宋"/>
          <w:szCs w:val="28"/>
        </w:rPr>
      </w:pPr>
      <w:r>
        <w:rPr>
          <w:rFonts w:hint="eastAsia" w:ascii="仿宋" w:hAnsi="仿宋" w:eastAsia="仿宋" w:cs="仿宋"/>
          <w:sz w:val="28"/>
          <w:szCs w:val="28"/>
          <w:lang w:val="en-US" w:eastAsia="zh-CN"/>
        </w:rPr>
        <w:t>五、</w:t>
      </w:r>
      <w:r>
        <w:rPr>
          <w:rFonts w:hint="eastAsia" w:ascii="仿宋" w:hAnsi="仿宋" w:eastAsia="仿宋" w:cs="仿宋"/>
        </w:rPr>
        <w:t>安全管理要求</w:t>
      </w:r>
      <w:r>
        <w:rPr>
          <w:rFonts w:hint="eastAsia" w:ascii="仿宋" w:hAnsi="仿宋" w:eastAsia="仿宋" w:cs="仿宋"/>
          <w:szCs w:val="28"/>
        </w:rPr>
        <w:t xml:space="preserve"> </w:t>
      </w:r>
    </w:p>
    <w:p>
      <w:pPr>
        <w:tabs>
          <w:tab w:val="left" w:pos="1260"/>
        </w:tabs>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乙方自带的炉内</w:t>
      </w:r>
      <w:r>
        <w:rPr>
          <w:rFonts w:hint="eastAsia" w:ascii="仿宋" w:hAnsi="仿宋" w:eastAsia="仿宋" w:cs="仿宋"/>
          <w:sz w:val="28"/>
          <w:szCs w:val="28"/>
        </w:rPr>
        <w:t>施工场所的照明灯具的电压必须符合电力行业安规规定的电压等级，甲方提供施工现场电源、水源及压缩空气气源。</w:t>
      </w:r>
    </w:p>
    <w:p>
      <w:pPr>
        <w:pStyle w:val="3"/>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施工期间要严格服从甲方安全环保管理及遵守甲方各项生产规章制度，如有违反甲方安全环保管理及违反甲方各项生产规章制度拒不服从管理者，甲方有权进行相应金额的处罚，(处罚依据为甲方现行的安全环保处罚管理制度)处罚金额将从乙方工程款中扣除 。</w:t>
      </w:r>
    </w:p>
    <w:p>
      <w:pPr>
        <w:pStyle w:val="3"/>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乙方施工前应提交施工安全措施，向甲方提交施工人员花名册，签订安全协议，所有施工人员安规考试合格。</w:t>
      </w:r>
    </w:p>
    <w:p>
      <w:pPr>
        <w:tabs>
          <w:tab w:val="left" w:pos="126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4. </w:t>
      </w:r>
      <w:r>
        <w:rPr>
          <w:rFonts w:hint="eastAsia" w:ascii="仿宋" w:hAnsi="仿宋" w:eastAsia="仿宋" w:cs="仿宋"/>
          <w:sz w:val="28"/>
          <w:szCs w:val="28"/>
        </w:rPr>
        <w:t>乙方承诺具有承包该工程的相应资质，乙方工作人员应持有特种作业资格证,乙方应对其工作人员办理工伤保险、人身意外伤害保险。同时，乙方工作人员在工作中须特别注意安全，如发生因人为原因的工伤事故或其他安全事故的，由乙方负责，甲方不负责任。</w:t>
      </w:r>
    </w:p>
    <w:p>
      <w:pPr>
        <w:pStyle w:val="2"/>
        <w:pageBreakBefore w:val="0"/>
        <w:widowControl w:val="0"/>
        <w:kinsoku/>
        <w:wordWrap/>
        <w:overflowPunct/>
        <w:topLinePunct w:val="0"/>
        <w:autoSpaceDE/>
        <w:autoSpaceDN/>
        <w:bidi w:val="0"/>
        <w:snapToGrid/>
        <w:spacing w:before="0" w:after="0" w:line="360" w:lineRule="auto"/>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六、</w:t>
      </w:r>
      <w:r>
        <w:rPr>
          <w:rFonts w:hint="eastAsia" w:ascii="仿宋" w:hAnsi="仿宋" w:eastAsia="仿宋" w:cs="仿宋"/>
          <w:b/>
          <w:bCs w:val="0"/>
          <w:sz w:val="28"/>
          <w:szCs w:val="28"/>
        </w:rPr>
        <w:t>人力资源配置</w:t>
      </w:r>
    </w:p>
    <w:p>
      <w:pPr>
        <w:pageBreakBefore w:val="0"/>
        <w:widowControl w:val="0"/>
        <w:kinsoku/>
        <w:wordWrap/>
        <w:overflowPunct/>
        <w:topLinePunct w:val="0"/>
        <w:autoSpaceDE/>
        <w:autoSpaceDN/>
        <w:bidi w:val="0"/>
        <w:adjustRightInd w:val="0"/>
        <w:snapToGrid/>
        <w:spacing w:line="360" w:lineRule="auto"/>
        <w:ind w:right="-252" w:rightChars="-120"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1</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人员基本素质要求</w:t>
      </w:r>
      <w:r>
        <w:rPr>
          <w:rFonts w:hint="eastAsia" w:ascii="仿宋" w:hAnsi="仿宋" w:eastAsia="仿宋" w:cs="仿宋"/>
          <w:bCs/>
          <w:sz w:val="28"/>
          <w:szCs w:val="28"/>
          <w:lang w:eastAsia="zh-CN"/>
        </w:rPr>
        <w:t>；</w:t>
      </w:r>
    </w:p>
    <w:p>
      <w:pPr>
        <w:adjustRightInd w:val="0"/>
        <w:spacing w:line="360" w:lineRule="auto"/>
        <w:ind w:right="-252" w:rightChars="-120"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 所有入厂工作人员，身体健康状况良好，55周岁以下</w:t>
      </w:r>
      <w:r>
        <w:rPr>
          <w:rFonts w:hint="eastAsia" w:ascii="仿宋" w:hAnsi="仿宋" w:eastAsia="仿宋" w:cs="仿宋"/>
          <w:bCs/>
          <w:sz w:val="28"/>
          <w:szCs w:val="28"/>
        </w:rPr>
        <w:t>；</w:t>
      </w:r>
    </w:p>
    <w:p>
      <w:pPr>
        <w:snapToGrid/>
        <w:spacing w:before="0" w:beforeAutospacing="0" w:after="0" w:afterAutospacing="0" w:line="360" w:lineRule="auto"/>
        <w:ind w:firstLine="560" w:firstLineChars="200"/>
        <w:jc w:val="both"/>
        <w:textAlignment w:val="baseline"/>
        <w:rPr>
          <w:rStyle w:val="8"/>
          <w:rFonts w:hint="eastAsia" w:ascii="仿宋" w:hAnsi="仿宋" w:eastAsia="仿宋" w:cs="仿宋"/>
          <w:b/>
          <w:i w:val="0"/>
          <w:caps w:val="0"/>
          <w:color w:val="auto"/>
          <w:spacing w:val="0"/>
          <w:w w:val="100"/>
          <w:kern w:val="2"/>
          <w:sz w:val="28"/>
          <w:szCs w:val="28"/>
          <w:highlight w:val="none"/>
          <w:lang w:val="en-US" w:eastAsia="zh-CN" w:bidi="ar-SA"/>
        </w:rPr>
      </w:pPr>
      <w:r>
        <w:rPr>
          <w:rStyle w:val="8"/>
          <w:rFonts w:hint="eastAsia" w:ascii="仿宋" w:hAnsi="仿宋" w:eastAsia="仿宋" w:cs="仿宋"/>
          <w:b w:val="0"/>
          <w:bCs/>
          <w:i w:val="0"/>
          <w:caps w:val="0"/>
          <w:color w:val="auto"/>
          <w:spacing w:val="0"/>
          <w:w w:val="100"/>
          <w:kern w:val="2"/>
          <w:sz w:val="28"/>
          <w:szCs w:val="28"/>
          <w:highlight w:val="none"/>
          <w:lang w:val="en-US" w:eastAsia="zh-CN" w:bidi="ar-SA"/>
        </w:rPr>
        <w:t>3. 要求乙方施工人员不低于16人</w:t>
      </w:r>
      <w:r>
        <w:rPr>
          <w:rStyle w:val="8"/>
          <w:rFonts w:hint="eastAsia" w:ascii="仿宋" w:hAnsi="仿宋" w:eastAsia="仿宋" w:cs="仿宋"/>
          <w:b/>
          <w:i w:val="0"/>
          <w:caps w:val="0"/>
          <w:color w:val="auto"/>
          <w:spacing w:val="0"/>
          <w:w w:val="100"/>
          <w:kern w:val="2"/>
          <w:sz w:val="28"/>
          <w:szCs w:val="28"/>
          <w:highlight w:val="none"/>
          <w:lang w:val="en-US" w:eastAsia="zh-CN" w:bidi="ar-SA"/>
        </w:rPr>
        <w:t>：</w:t>
      </w:r>
    </w:p>
    <w:tbl>
      <w:tblPr>
        <w:tblStyle w:val="6"/>
        <w:tblW w:w="40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3397"/>
        <w:gridCol w:w="33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01" w:hRule="atLeast"/>
          <w:jc w:val="center"/>
        </w:trPr>
        <w:tc>
          <w:tcPr>
            <w:tcW w:w="2507" w:type="pct"/>
            <w:tcBorders>
              <w:tl2br w:val="nil"/>
              <w:tr2bl w:val="nil"/>
            </w:tcBorders>
            <w:noWrap w:val="0"/>
            <w:vAlign w:val="center"/>
          </w:tcPr>
          <w:p>
            <w:pPr>
              <w:tabs>
                <w:tab w:val="left" w:pos="0"/>
              </w:tabs>
              <w:snapToGrid/>
              <w:spacing w:before="0" w:beforeAutospacing="0" w:after="0" w:afterAutospacing="0" w:line="360" w:lineRule="auto"/>
              <w:ind w:right="-252"/>
              <w:jc w:val="center"/>
              <w:textAlignment w:val="baseline"/>
              <w:rPr>
                <w:rStyle w:val="8"/>
                <w:rFonts w:hint="eastAsia" w:ascii="仿宋" w:hAnsi="仿宋" w:eastAsia="仿宋" w:cs="仿宋"/>
                <w:b/>
                <w:bCs/>
                <w:i w:val="0"/>
                <w:caps w:val="0"/>
                <w:color w:val="auto"/>
                <w:spacing w:val="0"/>
                <w:w w:val="100"/>
                <w:kern w:val="2"/>
                <w:sz w:val="28"/>
                <w:szCs w:val="28"/>
                <w:highlight w:val="none"/>
                <w:lang w:val="en-US" w:eastAsia="zh-CN" w:bidi="ar-SA"/>
              </w:rPr>
            </w:pPr>
            <w:r>
              <w:rPr>
                <w:rStyle w:val="8"/>
                <w:rFonts w:hint="eastAsia" w:ascii="仿宋" w:hAnsi="仿宋" w:eastAsia="仿宋" w:cs="仿宋"/>
                <w:b/>
                <w:bCs/>
                <w:i w:val="0"/>
                <w:caps w:val="0"/>
                <w:color w:val="auto"/>
                <w:spacing w:val="0"/>
                <w:w w:val="100"/>
                <w:kern w:val="2"/>
                <w:sz w:val="28"/>
                <w:szCs w:val="28"/>
                <w:highlight w:val="none"/>
                <w:lang w:val="en-US" w:eastAsia="zh-CN" w:bidi="ar-SA"/>
              </w:rPr>
              <w:t>岗位名称</w:t>
            </w:r>
          </w:p>
        </w:tc>
        <w:tc>
          <w:tcPr>
            <w:tcW w:w="2492" w:type="pct"/>
            <w:tcBorders>
              <w:tl2br w:val="nil"/>
              <w:tr2bl w:val="nil"/>
            </w:tcBorders>
            <w:noWrap w:val="0"/>
            <w:vAlign w:val="center"/>
          </w:tcPr>
          <w:p>
            <w:pPr>
              <w:tabs>
                <w:tab w:val="left" w:pos="0"/>
              </w:tabs>
              <w:snapToGrid/>
              <w:spacing w:before="0" w:beforeAutospacing="0" w:after="0" w:afterAutospacing="0" w:line="360" w:lineRule="auto"/>
              <w:ind w:right="-252"/>
              <w:jc w:val="center"/>
              <w:textAlignment w:val="baseline"/>
              <w:rPr>
                <w:rStyle w:val="8"/>
                <w:rFonts w:hint="eastAsia" w:ascii="仿宋" w:hAnsi="仿宋" w:eastAsia="仿宋" w:cs="仿宋"/>
                <w:b/>
                <w:bCs/>
                <w:i w:val="0"/>
                <w:caps w:val="0"/>
                <w:color w:val="auto"/>
                <w:spacing w:val="0"/>
                <w:w w:val="100"/>
                <w:kern w:val="2"/>
                <w:sz w:val="28"/>
                <w:szCs w:val="28"/>
                <w:highlight w:val="none"/>
                <w:lang w:val="en-US" w:eastAsia="zh-CN" w:bidi="ar-SA"/>
              </w:rPr>
            </w:pPr>
            <w:r>
              <w:rPr>
                <w:rStyle w:val="8"/>
                <w:rFonts w:hint="eastAsia" w:ascii="仿宋" w:hAnsi="仿宋" w:eastAsia="仿宋" w:cs="仿宋"/>
                <w:b/>
                <w:bCs/>
                <w:i w:val="0"/>
                <w:caps w:val="0"/>
                <w:color w:val="auto"/>
                <w:spacing w:val="0"/>
                <w:w w:val="100"/>
                <w:kern w:val="2"/>
                <w:sz w:val="28"/>
                <w:szCs w:val="28"/>
                <w:highlight w:val="none"/>
                <w:lang w:val="en-US" w:eastAsia="zh-CN" w:bidi="ar-SA"/>
              </w:rPr>
              <w:t>人员数量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01" w:hRule="atLeast"/>
          <w:jc w:val="center"/>
        </w:trPr>
        <w:tc>
          <w:tcPr>
            <w:tcW w:w="2507" w:type="pct"/>
            <w:tcBorders>
              <w:tl2br w:val="nil"/>
              <w:tr2bl w:val="nil"/>
            </w:tcBorders>
            <w:noWrap w:val="0"/>
            <w:vAlign w:val="center"/>
          </w:tcPr>
          <w:p>
            <w:pPr>
              <w:tabs>
                <w:tab w:val="left" w:pos="0"/>
              </w:tabs>
              <w:snapToGrid/>
              <w:spacing w:before="0" w:beforeAutospacing="0" w:after="0" w:afterAutospacing="0" w:line="360" w:lineRule="auto"/>
              <w:ind w:right="-252"/>
              <w:jc w:val="center"/>
              <w:textAlignment w:val="baseline"/>
              <w:rPr>
                <w:rStyle w:val="8"/>
                <w:rFonts w:hint="eastAsia" w:ascii="仿宋" w:hAnsi="仿宋" w:eastAsia="仿宋" w:cs="仿宋"/>
                <w:b w:val="0"/>
                <w:i w:val="0"/>
                <w:caps w:val="0"/>
                <w:color w:val="auto"/>
                <w:spacing w:val="0"/>
                <w:w w:val="100"/>
                <w:kern w:val="2"/>
                <w:sz w:val="24"/>
                <w:szCs w:val="24"/>
                <w:highlight w:val="none"/>
                <w:lang w:val="en-US" w:eastAsia="zh-CN" w:bidi="ar-SA"/>
              </w:rPr>
            </w:pPr>
            <w:r>
              <w:rPr>
                <w:rStyle w:val="8"/>
                <w:rFonts w:hint="eastAsia" w:ascii="仿宋" w:hAnsi="仿宋" w:eastAsia="仿宋" w:cs="仿宋"/>
                <w:b w:val="0"/>
                <w:i w:val="0"/>
                <w:caps w:val="0"/>
                <w:color w:val="auto"/>
                <w:spacing w:val="0"/>
                <w:w w:val="100"/>
                <w:kern w:val="2"/>
                <w:sz w:val="24"/>
                <w:szCs w:val="24"/>
                <w:highlight w:val="none"/>
                <w:lang w:val="en-US" w:eastAsia="zh-CN" w:bidi="ar-SA"/>
              </w:rPr>
              <w:t>清灰打焦工人</w:t>
            </w:r>
          </w:p>
        </w:tc>
        <w:tc>
          <w:tcPr>
            <w:tcW w:w="2492" w:type="pct"/>
            <w:tcBorders>
              <w:tl2br w:val="nil"/>
              <w:tr2bl w:val="nil"/>
            </w:tcBorders>
            <w:noWrap w:val="0"/>
            <w:vAlign w:val="center"/>
          </w:tcPr>
          <w:p>
            <w:pPr>
              <w:tabs>
                <w:tab w:val="left" w:pos="0"/>
              </w:tabs>
              <w:snapToGrid/>
              <w:spacing w:before="0" w:beforeAutospacing="0" w:after="0" w:afterAutospacing="0" w:line="360" w:lineRule="auto"/>
              <w:ind w:right="-252"/>
              <w:jc w:val="center"/>
              <w:textAlignment w:val="baseline"/>
              <w:rPr>
                <w:rStyle w:val="8"/>
                <w:rFonts w:hint="eastAsia" w:ascii="仿宋" w:hAnsi="仿宋" w:eastAsia="仿宋" w:cs="仿宋"/>
                <w:b w:val="0"/>
                <w:i w:val="0"/>
                <w:caps w:val="0"/>
                <w:color w:val="auto"/>
                <w:spacing w:val="0"/>
                <w:w w:val="100"/>
                <w:kern w:val="2"/>
                <w:sz w:val="24"/>
                <w:szCs w:val="24"/>
                <w:highlight w:val="none"/>
                <w:lang w:val="en-US" w:eastAsia="zh-CN" w:bidi="ar-SA"/>
              </w:rPr>
            </w:pPr>
            <w:r>
              <w:rPr>
                <w:rStyle w:val="8"/>
                <w:rFonts w:hint="eastAsia" w:ascii="仿宋" w:hAnsi="仿宋" w:eastAsia="仿宋" w:cs="仿宋"/>
                <w:b w:val="0"/>
                <w:i w:val="0"/>
                <w:caps w:val="0"/>
                <w:color w:val="auto"/>
                <w:spacing w:val="0"/>
                <w:w w:val="100"/>
                <w:kern w:val="2"/>
                <w:sz w:val="24"/>
                <w:szCs w:val="24"/>
                <w:highlight w:val="none"/>
                <w:lang w:val="en-US" w:eastAsia="zh-CN" w:bidi="ar-SA"/>
              </w:rPr>
              <w:t>12人及以上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01" w:hRule="atLeast"/>
          <w:jc w:val="center"/>
        </w:trPr>
        <w:tc>
          <w:tcPr>
            <w:tcW w:w="2507" w:type="pct"/>
            <w:tcBorders>
              <w:tl2br w:val="nil"/>
              <w:tr2bl w:val="nil"/>
            </w:tcBorders>
            <w:noWrap w:val="0"/>
            <w:vAlign w:val="center"/>
          </w:tcPr>
          <w:p>
            <w:pPr>
              <w:tabs>
                <w:tab w:val="left" w:pos="0"/>
              </w:tabs>
              <w:snapToGrid/>
              <w:spacing w:before="0" w:beforeAutospacing="0" w:after="0" w:afterAutospacing="0" w:line="360" w:lineRule="auto"/>
              <w:ind w:right="-252"/>
              <w:jc w:val="center"/>
              <w:textAlignment w:val="baseline"/>
              <w:rPr>
                <w:rStyle w:val="8"/>
                <w:rFonts w:hint="eastAsia" w:ascii="仿宋" w:hAnsi="仿宋" w:eastAsia="仿宋" w:cs="仿宋"/>
                <w:b w:val="0"/>
                <w:i w:val="0"/>
                <w:caps w:val="0"/>
                <w:color w:val="auto"/>
                <w:spacing w:val="0"/>
                <w:w w:val="100"/>
                <w:kern w:val="2"/>
                <w:sz w:val="24"/>
                <w:szCs w:val="24"/>
                <w:highlight w:val="none"/>
                <w:lang w:val="en-US" w:eastAsia="zh-CN" w:bidi="ar-SA"/>
              </w:rPr>
            </w:pPr>
            <w:r>
              <w:rPr>
                <w:rStyle w:val="8"/>
                <w:rFonts w:hint="eastAsia" w:ascii="仿宋" w:hAnsi="仿宋" w:eastAsia="仿宋" w:cs="仿宋"/>
                <w:b w:val="0"/>
                <w:i w:val="0"/>
                <w:caps w:val="0"/>
                <w:color w:val="auto"/>
                <w:spacing w:val="0"/>
                <w:w w:val="100"/>
                <w:kern w:val="2"/>
                <w:sz w:val="24"/>
                <w:szCs w:val="24"/>
                <w:highlight w:val="none"/>
                <w:lang w:val="en-US" w:eastAsia="zh-CN" w:bidi="ar-SA"/>
              </w:rPr>
              <w:t>架子工</w:t>
            </w:r>
          </w:p>
        </w:tc>
        <w:tc>
          <w:tcPr>
            <w:tcW w:w="2492" w:type="pct"/>
            <w:tcBorders>
              <w:tl2br w:val="nil"/>
              <w:tr2bl w:val="nil"/>
            </w:tcBorders>
            <w:noWrap w:val="0"/>
            <w:vAlign w:val="center"/>
          </w:tcPr>
          <w:p>
            <w:pPr>
              <w:tabs>
                <w:tab w:val="left" w:pos="0"/>
              </w:tabs>
              <w:snapToGrid/>
              <w:spacing w:before="0" w:beforeAutospacing="0" w:after="0" w:afterAutospacing="0" w:line="360" w:lineRule="auto"/>
              <w:ind w:right="-252"/>
              <w:jc w:val="center"/>
              <w:textAlignment w:val="baseline"/>
              <w:rPr>
                <w:rStyle w:val="8"/>
                <w:rFonts w:hint="eastAsia" w:ascii="仿宋" w:hAnsi="仿宋" w:eastAsia="仿宋" w:cs="仿宋"/>
                <w:b w:val="0"/>
                <w:i w:val="0"/>
                <w:caps w:val="0"/>
                <w:color w:val="auto"/>
                <w:spacing w:val="0"/>
                <w:w w:val="100"/>
                <w:kern w:val="2"/>
                <w:sz w:val="24"/>
                <w:szCs w:val="24"/>
                <w:highlight w:val="none"/>
                <w:lang w:val="en-US" w:eastAsia="zh-CN" w:bidi="ar-SA"/>
              </w:rPr>
            </w:pPr>
            <w:r>
              <w:rPr>
                <w:rStyle w:val="8"/>
                <w:rFonts w:hint="eastAsia" w:ascii="仿宋" w:hAnsi="仿宋" w:eastAsia="仿宋" w:cs="仿宋"/>
                <w:b w:val="0"/>
                <w:i w:val="0"/>
                <w:caps w:val="0"/>
                <w:color w:val="auto"/>
                <w:spacing w:val="0"/>
                <w:w w:val="100"/>
                <w:kern w:val="2"/>
                <w:sz w:val="24"/>
                <w:szCs w:val="24"/>
                <w:highlight w:val="none"/>
                <w:lang w:val="en-US" w:eastAsia="zh-CN" w:bidi="ar-SA"/>
              </w:rPr>
              <w:t>4人及以上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01" w:hRule="atLeast"/>
          <w:jc w:val="center"/>
        </w:trPr>
        <w:tc>
          <w:tcPr>
            <w:tcW w:w="2507" w:type="pct"/>
            <w:tcBorders>
              <w:tl2br w:val="nil"/>
              <w:tr2bl w:val="nil"/>
            </w:tcBorders>
            <w:noWrap w:val="0"/>
            <w:vAlign w:val="center"/>
          </w:tcPr>
          <w:p>
            <w:pPr>
              <w:tabs>
                <w:tab w:val="left" w:pos="0"/>
              </w:tabs>
              <w:snapToGrid/>
              <w:spacing w:before="0" w:beforeAutospacing="0" w:after="0" w:afterAutospacing="0" w:line="360" w:lineRule="auto"/>
              <w:ind w:right="-252"/>
              <w:jc w:val="center"/>
              <w:textAlignment w:val="baseline"/>
              <w:rPr>
                <w:rStyle w:val="8"/>
                <w:rFonts w:hint="eastAsia" w:ascii="仿宋" w:hAnsi="仿宋" w:eastAsia="仿宋" w:cs="仿宋"/>
                <w:b w:val="0"/>
                <w:i w:val="0"/>
                <w:caps w:val="0"/>
                <w:color w:val="auto"/>
                <w:spacing w:val="0"/>
                <w:w w:val="100"/>
                <w:kern w:val="2"/>
                <w:sz w:val="24"/>
                <w:szCs w:val="24"/>
                <w:highlight w:val="none"/>
                <w:lang w:val="en-US" w:eastAsia="zh-CN" w:bidi="ar-SA"/>
              </w:rPr>
            </w:pPr>
            <w:r>
              <w:rPr>
                <w:rStyle w:val="8"/>
                <w:rFonts w:hint="eastAsia" w:ascii="仿宋" w:hAnsi="仿宋" w:eastAsia="仿宋" w:cs="仿宋"/>
                <w:b w:val="0"/>
                <w:i w:val="0"/>
                <w:caps w:val="0"/>
                <w:color w:val="auto"/>
                <w:spacing w:val="0"/>
                <w:w w:val="100"/>
                <w:kern w:val="2"/>
                <w:sz w:val="24"/>
                <w:szCs w:val="24"/>
                <w:highlight w:val="none"/>
                <w:lang w:val="en-US" w:eastAsia="zh-CN" w:bidi="ar-SA"/>
              </w:rPr>
              <w:t>总计</w:t>
            </w:r>
          </w:p>
        </w:tc>
        <w:tc>
          <w:tcPr>
            <w:tcW w:w="2492" w:type="pct"/>
            <w:tcBorders>
              <w:tl2br w:val="nil"/>
              <w:tr2bl w:val="nil"/>
            </w:tcBorders>
            <w:noWrap w:val="0"/>
            <w:vAlign w:val="center"/>
          </w:tcPr>
          <w:p>
            <w:pPr>
              <w:tabs>
                <w:tab w:val="left" w:pos="0"/>
              </w:tabs>
              <w:snapToGrid/>
              <w:spacing w:before="0" w:beforeAutospacing="0" w:after="0" w:afterAutospacing="0" w:line="360" w:lineRule="auto"/>
              <w:ind w:right="-252"/>
              <w:jc w:val="center"/>
              <w:textAlignment w:val="baseline"/>
              <w:rPr>
                <w:rStyle w:val="8"/>
                <w:rFonts w:hint="eastAsia" w:ascii="仿宋" w:hAnsi="仿宋" w:eastAsia="仿宋" w:cs="仿宋"/>
                <w:b w:val="0"/>
                <w:i w:val="0"/>
                <w:caps w:val="0"/>
                <w:color w:val="auto"/>
                <w:spacing w:val="0"/>
                <w:w w:val="100"/>
                <w:kern w:val="2"/>
                <w:sz w:val="24"/>
                <w:szCs w:val="24"/>
                <w:highlight w:val="none"/>
                <w:lang w:val="en-US" w:eastAsia="zh-CN" w:bidi="ar-SA"/>
              </w:rPr>
            </w:pPr>
            <w:r>
              <w:rPr>
                <w:rStyle w:val="8"/>
                <w:rFonts w:hint="eastAsia" w:ascii="仿宋" w:hAnsi="仿宋" w:eastAsia="仿宋" w:cs="仿宋"/>
                <w:b w:val="0"/>
                <w:i w:val="0"/>
                <w:caps w:val="0"/>
                <w:color w:val="auto"/>
                <w:spacing w:val="0"/>
                <w:w w:val="100"/>
                <w:kern w:val="2"/>
                <w:sz w:val="24"/>
                <w:szCs w:val="24"/>
                <w:highlight w:val="none"/>
                <w:lang w:val="en-US" w:eastAsia="zh-CN" w:bidi="ar-SA"/>
              </w:rPr>
              <w:t>16人及以上</w:t>
            </w:r>
          </w:p>
        </w:tc>
      </w:tr>
    </w:tbl>
    <w:p>
      <w:pPr>
        <w:pStyle w:val="5"/>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七、</w:t>
      </w:r>
      <w:r>
        <w:rPr>
          <w:rFonts w:hint="eastAsia" w:ascii="仿宋" w:hAnsi="仿宋" w:eastAsia="仿宋" w:cs="仿宋"/>
          <w:b/>
          <w:bCs w:val="0"/>
          <w:sz w:val="28"/>
          <w:szCs w:val="28"/>
        </w:rPr>
        <w:t>材料</w:t>
      </w:r>
    </w:p>
    <w:p>
      <w:pPr>
        <w:pageBreakBefore w:val="0"/>
        <w:widowControl w:val="0"/>
        <w:tabs>
          <w:tab w:val="left" w:pos="840"/>
        </w:tabs>
        <w:kinsoku/>
        <w:wordWrap/>
        <w:overflowPunct/>
        <w:topLinePunct w:val="0"/>
        <w:autoSpaceDE/>
        <w:autoSpaceDN/>
        <w:bidi w:val="0"/>
        <w:adjustRightInd w:val="0"/>
        <w:snapToGrid/>
        <w:spacing w:line="360" w:lineRule="auto"/>
        <w:ind w:right="-252" w:rightChars="-120" w:firstLine="562" w:firstLineChars="2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一切工器具</w:t>
      </w:r>
      <w:r>
        <w:rPr>
          <w:rFonts w:hint="eastAsia" w:ascii="仿宋" w:hAnsi="仿宋" w:eastAsia="仿宋" w:cs="仿宋"/>
          <w:b/>
          <w:bCs w:val="0"/>
          <w:sz w:val="28"/>
          <w:szCs w:val="28"/>
        </w:rPr>
        <w:t>由</w:t>
      </w:r>
      <w:r>
        <w:rPr>
          <w:rFonts w:hint="eastAsia" w:ascii="仿宋" w:hAnsi="仿宋" w:eastAsia="仿宋" w:cs="仿宋"/>
          <w:b/>
          <w:bCs w:val="0"/>
          <w:sz w:val="28"/>
          <w:szCs w:val="28"/>
          <w:lang w:val="en-US" w:eastAsia="zh-CN"/>
        </w:rPr>
        <w:t>投</w:t>
      </w:r>
      <w:r>
        <w:rPr>
          <w:rFonts w:hint="eastAsia" w:ascii="仿宋" w:hAnsi="仿宋" w:eastAsia="仿宋" w:cs="仿宋"/>
          <w:b/>
          <w:bCs w:val="0"/>
          <w:sz w:val="28"/>
          <w:szCs w:val="28"/>
          <w:lang w:eastAsia="zh-CN"/>
        </w:rPr>
        <w:t>标人</w:t>
      </w:r>
      <w:r>
        <w:rPr>
          <w:rFonts w:hint="eastAsia" w:ascii="仿宋" w:hAnsi="仿宋" w:eastAsia="仿宋" w:cs="仿宋"/>
          <w:b/>
          <w:bCs w:val="0"/>
          <w:sz w:val="28"/>
          <w:szCs w:val="28"/>
        </w:rPr>
        <w:t>提供，（</w:t>
      </w:r>
      <w:r>
        <w:rPr>
          <w:rFonts w:hint="eastAsia" w:ascii="仿宋" w:hAnsi="仿宋" w:eastAsia="仿宋" w:cs="仿宋"/>
          <w:b/>
          <w:bCs w:val="0"/>
          <w:sz w:val="28"/>
          <w:szCs w:val="28"/>
          <w:lang w:val="en-US" w:eastAsia="zh-CN"/>
        </w:rPr>
        <w:t>包括</w:t>
      </w:r>
      <w:r>
        <w:rPr>
          <w:rFonts w:hint="eastAsia" w:ascii="仿宋" w:hAnsi="仿宋" w:eastAsia="仿宋" w:cs="仿宋"/>
          <w:b/>
          <w:bCs w:val="0"/>
          <w:sz w:val="28"/>
          <w:szCs w:val="28"/>
        </w:rPr>
        <w:t>但不限于下表所列）：</w:t>
      </w:r>
    </w:p>
    <w:tbl>
      <w:tblPr>
        <w:tblStyle w:val="6"/>
        <w:tblW w:w="827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
        <w:gridCol w:w="3535"/>
        <w:gridCol w:w="191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b/>
                <w:bCs w:val="0"/>
                <w:i w:val="0"/>
                <w:iCs w:val="0"/>
                <w:color w:val="000000"/>
                <w:sz w:val="28"/>
                <w:szCs w:val="28"/>
                <w:u w:val="none"/>
              </w:rPr>
            </w:pPr>
            <w:r>
              <w:rPr>
                <w:rFonts w:hint="eastAsia" w:ascii="仿宋" w:hAnsi="仿宋" w:eastAsia="仿宋" w:cs="仿宋"/>
                <w:b/>
                <w:bCs w:val="0"/>
                <w:i w:val="0"/>
                <w:iCs w:val="0"/>
                <w:color w:val="000000"/>
                <w:kern w:val="0"/>
                <w:sz w:val="28"/>
                <w:szCs w:val="28"/>
                <w:u w:val="none"/>
                <w:lang w:val="en-US" w:eastAsia="zh-CN" w:bidi="ar"/>
              </w:rPr>
              <w:t>序号</w:t>
            </w:r>
          </w:p>
        </w:tc>
        <w:tc>
          <w:tcPr>
            <w:tcW w:w="3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b/>
                <w:bCs w:val="0"/>
                <w:i w:val="0"/>
                <w:iCs w:val="0"/>
                <w:color w:val="000000"/>
                <w:sz w:val="28"/>
                <w:szCs w:val="28"/>
                <w:u w:val="none"/>
              </w:rPr>
            </w:pPr>
            <w:r>
              <w:rPr>
                <w:rFonts w:hint="eastAsia" w:ascii="仿宋" w:hAnsi="仿宋" w:eastAsia="仿宋" w:cs="仿宋"/>
                <w:b/>
                <w:bCs w:val="0"/>
                <w:i w:val="0"/>
                <w:iCs w:val="0"/>
                <w:color w:val="000000"/>
                <w:kern w:val="0"/>
                <w:sz w:val="28"/>
                <w:szCs w:val="28"/>
                <w:u w:val="none"/>
                <w:lang w:val="en-US" w:eastAsia="zh-CN" w:bidi="ar"/>
              </w:rPr>
              <w:t>规格型号</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b/>
                <w:bCs w:val="0"/>
                <w:i w:val="0"/>
                <w:iCs w:val="0"/>
                <w:color w:val="000000"/>
                <w:sz w:val="28"/>
                <w:szCs w:val="28"/>
                <w:u w:val="none"/>
              </w:rPr>
            </w:pPr>
            <w:r>
              <w:rPr>
                <w:rFonts w:hint="eastAsia" w:ascii="仿宋" w:hAnsi="仿宋" w:eastAsia="仿宋" w:cs="仿宋"/>
                <w:b/>
                <w:bCs w:val="0"/>
                <w:i w:val="0"/>
                <w:iCs w:val="0"/>
                <w:color w:val="000000"/>
                <w:kern w:val="0"/>
                <w:sz w:val="28"/>
                <w:szCs w:val="28"/>
                <w:u w:val="none"/>
                <w:lang w:val="en-US" w:eastAsia="zh-CN" w:bidi="ar"/>
              </w:rPr>
              <w:t>单位</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b/>
                <w:bCs w:val="0"/>
                <w:i w:val="0"/>
                <w:iCs w:val="0"/>
                <w:color w:val="000000"/>
                <w:sz w:val="28"/>
                <w:szCs w:val="28"/>
                <w:u w:val="none"/>
              </w:rPr>
            </w:pPr>
            <w:r>
              <w:rPr>
                <w:rFonts w:hint="eastAsia" w:ascii="仿宋" w:hAnsi="仿宋" w:eastAsia="仿宋" w:cs="仿宋"/>
                <w:b/>
                <w:bCs w:val="0"/>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w:t>
            </w:r>
          </w:p>
        </w:tc>
        <w:tc>
          <w:tcPr>
            <w:tcW w:w="3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专用抢刀</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个</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w:t>
            </w:r>
          </w:p>
        </w:tc>
        <w:tc>
          <w:tcPr>
            <w:tcW w:w="3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竹笤帚</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个</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3</w:t>
            </w:r>
          </w:p>
        </w:tc>
        <w:tc>
          <w:tcPr>
            <w:tcW w:w="3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软梯</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个</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4</w:t>
            </w:r>
          </w:p>
        </w:tc>
        <w:tc>
          <w:tcPr>
            <w:tcW w:w="3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防毒口罩</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w:t>
            </w:r>
          </w:p>
        </w:tc>
        <w:tc>
          <w:tcPr>
            <w:tcW w:w="3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防护服</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套</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6</w:t>
            </w:r>
          </w:p>
        </w:tc>
        <w:tc>
          <w:tcPr>
            <w:tcW w:w="3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10铁线</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7</w:t>
            </w:r>
          </w:p>
        </w:tc>
        <w:tc>
          <w:tcPr>
            <w:tcW w:w="3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铁跳板</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块</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8</w:t>
            </w:r>
          </w:p>
        </w:tc>
        <w:tc>
          <w:tcPr>
            <w:tcW w:w="3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架子管</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根</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9</w:t>
            </w:r>
          </w:p>
        </w:tc>
        <w:tc>
          <w:tcPr>
            <w:tcW w:w="3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管件</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个</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10</w:t>
            </w:r>
          </w:p>
        </w:tc>
        <w:tc>
          <w:tcPr>
            <w:tcW w:w="3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安全带</w:t>
            </w:r>
          </w:p>
        </w:tc>
        <w:tc>
          <w:tcPr>
            <w:tcW w:w="1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个</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10</w:t>
            </w:r>
          </w:p>
        </w:tc>
      </w:tr>
    </w:tbl>
    <w:p>
      <w:pPr>
        <w:rPr>
          <w:rFonts w:hint="eastAsia" w:ascii="仿宋" w:hAnsi="仿宋" w:eastAsia="仿宋" w:cs="仿宋"/>
          <w:b/>
          <w:sz w:val="28"/>
          <w:szCs w:val="28"/>
        </w:rPr>
      </w:pPr>
      <w:r>
        <w:rPr>
          <w:rFonts w:hint="eastAsia" w:ascii="仿宋" w:hAnsi="仿宋" w:eastAsia="仿宋" w:cs="仿宋"/>
          <w:b/>
          <w:sz w:val="28"/>
          <w:szCs w:val="28"/>
        </w:rPr>
        <w:br w:type="page"/>
      </w:r>
    </w:p>
    <w:p>
      <w:pPr>
        <w:spacing w:line="360" w:lineRule="auto"/>
        <w:rPr>
          <w:rFonts w:hint="eastAsia" w:ascii="仿宋" w:hAnsi="仿宋" w:eastAsia="仿宋" w:cs="仿宋"/>
          <w:b/>
          <w:sz w:val="28"/>
          <w:szCs w:val="28"/>
        </w:rPr>
      </w:pPr>
      <w:r>
        <w:rPr>
          <w:rFonts w:hint="eastAsia" w:ascii="仿宋" w:hAnsi="仿宋" w:eastAsia="仿宋" w:cs="仿宋"/>
          <w:b/>
          <w:sz w:val="28"/>
          <w:szCs w:val="28"/>
        </w:rPr>
        <w:t>附件一：</w:t>
      </w:r>
    </w:p>
    <w:p>
      <w:pPr>
        <w:pStyle w:val="9"/>
        <w:spacing w:line="360" w:lineRule="auto"/>
        <w:jc w:val="center"/>
        <w:rPr>
          <w:rFonts w:hint="eastAsia" w:ascii="仿宋" w:hAnsi="仿宋" w:eastAsia="仿宋" w:cs="仿宋"/>
          <w:b/>
          <w:bCs w:val="0"/>
          <w:kern w:val="2"/>
          <w:sz w:val="28"/>
          <w:szCs w:val="28"/>
          <w:lang w:eastAsia="zh-CN"/>
        </w:rPr>
      </w:pPr>
      <w:r>
        <w:rPr>
          <w:rFonts w:hint="eastAsia" w:ascii="仿宋" w:hAnsi="仿宋" w:eastAsia="仿宋" w:cs="仿宋"/>
          <w:b/>
          <w:bCs w:val="0"/>
          <w:kern w:val="2"/>
          <w:sz w:val="28"/>
          <w:szCs w:val="28"/>
          <w:lang w:eastAsia="zh-CN"/>
        </w:rPr>
        <w:t>大庆城控电力有限公司</w:t>
      </w:r>
    </w:p>
    <w:p>
      <w:pPr>
        <w:pStyle w:val="2"/>
        <w:spacing w:line="360" w:lineRule="auto"/>
        <w:jc w:val="center"/>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外包单位施工</w:t>
      </w:r>
      <w:r>
        <w:rPr>
          <w:rFonts w:hint="eastAsia" w:ascii="仿宋" w:hAnsi="仿宋" w:eastAsia="仿宋" w:cs="仿宋"/>
          <w:b/>
          <w:bCs w:val="0"/>
          <w:sz w:val="28"/>
          <w:szCs w:val="28"/>
        </w:rPr>
        <w:t>考核办法</w:t>
      </w:r>
    </w:p>
    <w:p>
      <w:pPr>
        <w:numPr>
          <w:ilvl w:val="0"/>
          <w:numId w:val="0"/>
        </w:numPr>
        <w:spacing w:line="36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1、施工人员未正确佩戴防护用品，每人每次考核200元。</w:t>
      </w:r>
    </w:p>
    <w:p>
      <w:pPr>
        <w:pStyle w:val="5"/>
        <w:numPr>
          <w:ilvl w:val="0"/>
          <w:numId w:val="0"/>
        </w:numPr>
        <w:spacing w:line="360" w:lineRule="auto"/>
        <w:ind w:right="57" w:righ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2、施工人员酒后上岗考核2000元，并勒令立刻离厂。</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3、施工人员未经许可擅自进入非工作区域，每次每人考核200元。</w:t>
      </w:r>
    </w:p>
    <w:p>
      <w:pPr>
        <w:pStyle w:val="5"/>
        <w:spacing w:line="360" w:lineRule="auto"/>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4、施工人员未经许可擅自操作生产现场设备，每次考核2000元，如发生事故追究其相关责任。</w:t>
      </w:r>
    </w:p>
    <w:p>
      <w:pPr>
        <w:spacing w:line="360" w:lineRule="auto"/>
        <w:rPr>
          <w:rFonts w:hint="eastAsia" w:ascii="仿宋" w:hAnsi="仿宋" w:eastAsia="仿宋" w:cs="仿宋"/>
          <w:sz w:val="28"/>
          <w:szCs w:val="28"/>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ËÎÌå">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83C59"/>
    <w:multiLevelType w:val="multilevel"/>
    <w:tmpl w:val="08B83C59"/>
    <w:lvl w:ilvl="0" w:tentative="0">
      <w:start w:val="1"/>
      <w:numFmt w:val="decimal"/>
      <w:lvlText w:val="第%1章 "/>
      <w:lvlJc w:val="left"/>
      <w:pPr>
        <w:tabs>
          <w:tab w:val="left" w:pos="425"/>
        </w:tabs>
        <w:ind w:left="425" w:hanging="425"/>
      </w:pPr>
      <w:rPr>
        <w:rFonts w:hint="eastAsia"/>
      </w:rPr>
    </w:lvl>
    <w:lvl w:ilvl="1" w:tentative="0">
      <w:start w:val="1"/>
      <w:numFmt w:val="decimal"/>
      <w:pStyle w:val="13"/>
      <w:lvlText w:val="%1.%2 "/>
      <w:lvlJc w:val="left"/>
      <w:pPr>
        <w:tabs>
          <w:tab w:val="left" w:pos="567"/>
        </w:tabs>
        <w:ind w:left="567" w:hanging="567"/>
      </w:pPr>
      <w:rPr>
        <w:rFonts w:hint="default" w:ascii="黑体" w:hAnsi="黑体" w:eastAsia="黑体"/>
      </w:rPr>
    </w:lvl>
    <w:lvl w:ilvl="2" w:tentative="0">
      <w:start w:val="1"/>
      <w:numFmt w:val="decimal"/>
      <w:pStyle w:val="14"/>
      <w:suff w:val="space"/>
      <w:lvlText w:val="%1.%2.%3 "/>
      <w:lvlJc w:val="left"/>
      <w:pPr>
        <w:ind w:left="1277" w:hanging="709"/>
      </w:pPr>
      <w:rPr>
        <w:rFonts w:hint="eastAsia"/>
        <w:b w:val="0"/>
        <w:bCs/>
      </w:rPr>
    </w:lvl>
    <w:lvl w:ilvl="3" w:tentative="0">
      <w:start w:val="1"/>
      <w:numFmt w:val="decimal"/>
      <w:pStyle w:val="15"/>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F4DD16C"/>
    <w:multiLevelType w:val="singleLevel"/>
    <w:tmpl w:val="2F4DD16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NjM5OTc3NTJiMjE3YmM1NjhlMGE1MDQ1NDY3YzEifQ=="/>
  </w:docVars>
  <w:rsids>
    <w:rsidRoot w:val="6330492B"/>
    <w:rsid w:val="032C1D37"/>
    <w:rsid w:val="28FE799F"/>
    <w:rsid w:val="2DA03BFD"/>
    <w:rsid w:val="497709DB"/>
    <w:rsid w:val="4C461857"/>
    <w:rsid w:val="541025FE"/>
    <w:rsid w:val="6330492B"/>
    <w:rsid w:val="70CC398E"/>
    <w:rsid w:val="71836742"/>
    <w:rsid w:val="7757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uiPriority w:val="0"/>
    <w:pPr>
      <w:spacing w:after="120" w:afterLines="0"/>
    </w:pPr>
    <w:rPr>
      <w:szCs w:val="21"/>
    </w:rPr>
  </w:style>
  <w:style w:type="paragraph" w:styleId="4">
    <w:name w:val="Body Text 2"/>
    <w:basedOn w:val="1"/>
    <w:autoRedefine/>
    <w:qFormat/>
    <w:uiPriority w:val="0"/>
    <w:rPr>
      <w:rFonts w:ascii="宋体"/>
      <w:color w:val="FF0000"/>
    </w:rPr>
  </w:style>
  <w:style w:type="paragraph" w:styleId="5">
    <w:name w:val="toc 1"/>
    <w:basedOn w:val="1"/>
    <w:next w:val="1"/>
    <w:autoRedefine/>
    <w:qFormat/>
    <w:uiPriority w:val="39"/>
    <w:pPr>
      <w:spacing w:before="120" w:after="120" w:line="480" w:lineRule="exact"/>
      <w:ind w:left="57" w:right="57"/>
      <w:jc w:val="left"/>
    </w:pPr>
    <w:rPr>
      <w:rFonts w:ascii="宋体" w:hAnsi="ËÎÌå" w:cs="宋体"/>
      <w:caps/>
      <w:szCs w:val="24"/>
    </w:rPr>
  </w:style>
  <w:style w:type="character" w:customStyle="1" w:styleId="8">
    <w:name w:val="NormalCharacter"/>
    <w:autoRedefine/>
    <w:semiHidden/>
    <w:qFormat/>
    <w:uiPriority w:val="0"/>
    <w:rPr>
      <w:kern w:val="2"/>
      <w:sz w:val="21"/>
      <w:szCs w:val="24"/>
      <w:lang w:val="en-US" w:eastAsia="zh-CN" w:bidi="ar-SA"/>
    </w:rPr>
  </w:style>
  <w:style w:type="paragraph" w:customStyle="1" w:styleId="9">
    <w:name w:val="标准"/>
    <w:basedOn w:val="1"/>
    <w:autoRedefine/>
    <w:qFormat/>
    <w:uiPriority w:val="0"/>
    <w:pPr>
      <w:adjustRightInd w:val="0"/>
      <w:spacing w:line="312" w:lineRule="atLeast"/>
      <w:textAlignment w:val="baseline"/>
    </w:pPr>
    <w:rPr>
      <w:rFonts w:ascii="Calibri" w:hAnsi="Calibri"/>
      <w:kern w:val="0"/>
      <w:sz w:val="24"/>
      <w:szCs w:val="20"/>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p"/>
    <w:basedOn w:val="1"/>
    <w:autoRedefine/>
    <w:qFormat/>
    <w:uiPriority w:val="0"/>
    <w:pPr>
      <w:spacing w:line="525" w:lineRule="atLeast"/>
      <w:ind w:firstLine="375"/>
    </w:pPr>
  </w:style>
  <w:style w:type="paragraph" w:customStyle="1" w:styleId="12">
    <w:name w:val="cucd-0"/>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3">
    <w:name w:val="cucd-2"/>
    <w:next w:val="14"/>
    <w:autoRedefine/>
    <w:qFormat/>
    <w:uiPriority w:val="0"/>
    <w:pPr>
      <w:numPr>
        <w:ilvl w:val="1"/>
        <w:numId w:val="1"/>
      </w:numPr>
      <w:tabs>
        <w:tab w:val="left" w:pos="371"/>
      </w:tabs>
      <w:spacing w:line="360" w:lineRule="auto"/>
      <w:outlineLvl w:val="1"/>
    </w:pPr>
    <w:rPr>
      <w:rFonts w:ascii="Times New Roman" w:hAnsi="Times New Roman" w:eastAsia="黑体" w:cs="Times New Roman"/>
      <w:b/>
      <w:kern w:val="2"/>
      <w:sz w:val="30"/>
      <w:szCs w:val="24"/>
      <w:lang w:val="en-US" w:eastAsia="zh-CN" w:bidi="ar-SA"/>
    </w:rPr>
  </w:style>
  <w:style w:type="paragraph" w:customStyle="1" w:styleId="14">
    <w:name w:val="cucd-3"/>
    <w:next w:val="15"/>
    <w:autoRedefine/>
    <w:qFormat/>
    <w:uiPriority w:val="0"/>
    <w:pPr>
      <w:numPr>
        <w:ilvl w:val="2"/>
        <w:numId w:val="1"/>
      </w:numPr>
      <w:tabs>
        <w:tab w:val="left" w:pos="709"/>
      </w:tabs>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15">
    <w:name w:val="cucd-4"/>
    <w:next w:val="12"/>
    <w:autoRedefine/>
    <w:qFormat/>
    <w:uiPriority w:val="0"/>
    <w:pPr>
      <w:numPr>
        <w:ilvl w:val="3"/>
        <w:numId w:val="1"/>
      </w:numPr>
      <w:spacing w:line="360" w:lineRule="auto"/>
      <w:outlineLvl w:val="3"/>
    </w:pPr>
    <w:rPr>
      <w:rFonts w:ascii="Times New Roman" w:hAnsi="Times New Roman"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2024-01-02T02:59:00Z</dcterms:created>
  <dc:creator>媛小姐</dc:creator>
  <cp:lastModifiedBy>WPS_1687747530</cp:lastModifiedBy>
  <dcterms:modified xsi:type="dcterms:W3CDTF">2024-01-09T08:30:01Z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B8B4F05FB58A4B0AA6DAB673A468B8AF_13</vt:lpwstr>
  </property>
</Properties>
</file>