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color w:val="000000"/>
          <w:sz w:val="40"/>
          <w:szCs w:val="40"/>
          <w:lang w:eastAsia="zh-CN"/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color w:val="000000"/>
          <w:sz w:val="40"/>
          <w:szCs w:val="40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eastAsia="zh-CN"/>
        </w:rPr>
        <w:t>济源霖林环保能源有限公司</w:t>
      </w:r>
      <w:r>
        <w:rPr>
          <w:rFonts w:hint="eastAsia" w:ascii="宋体" w:hAnsi="宋体" w:eastAsia="宋体" w:cs="Times New Roman"/>
          <w:b/>
          <w:color w:val="000000"/>
          <w:sz w:val="40"/>
          <w:szCs w:val="40"/>
        </w:rPr>
        <w:t>厂区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color w:val="000000"/>
          <w:sz w:val="40"/>
          <w:szCs w:val="40"/>
        </w:rPr>
      </w:pPr>
      <w:r>
        <w:rPr>
          <w:rFonts w:ascii="宋体" w:hAnsi="宋体" w:eastAsia="宋体" w:cs="Times New Roman"/>
          <w:b/>
          <w:color w:val="000000"/>
          <w:sz w:val="40"/>
          <w:szCs w:val="40"/>
        </w:rPr>
        <w:t>道路交通标线划线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widowControl/>
        <w:snapToGrid w:val="0"/>
        <w:spacing w:line="360" w:lineRule="auto"/>
        <w:rPr>
          <w:rFonts w:ascii="宋体" w:hAnsi="宋体" w:eastAsia="宋体" w:cs="宋体"/>
          <w:b/>
          <w:sz w:val="32"/>
          <w:szCs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技术规范</w:t>
      </w:r>
    </w:p>
    <w:p>
      <w:pPr>
        <w:spacing w:line="360" w:lineRule="auto"/>
        <w:rPr>
          <w:rFonts w:ascii="宋体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Times New Roman" w:eastAsia="宋体" w:cs="Times New Roman"/>
          <w:b/>
          <w:sz w:val="32"/>
          <w:szCs w:val="32"/>
        </w:rPr>
      </w:pPr>
    </w:p>
    <w:p>
      <w:pPr>
        <w:spacing w:line="360" w:lineRule="auto"/>
        <w:rPr>
          <w:rFonts w:ascii="宋体" w:hAnsi="Times New Roman" w:eastAsia="宋体" w:cs="Times New Roman"/>
          <w:b/>
          <w:sz w:val="32"/>
          <w:szCs w:val="32"/>
        </w:rPr>
      </w:pPr>
    </w:p>
    <w:p>
      <w:pPr>
        <w:tabs>
          <w:tab w:val="left" w:pos="5385"/>
        </w:tabs>
        <w:spacing w:line="360" w:lineRule="auto"/>
        <w:rPr>
          <w:rFonts w:ascii="宋体" w:hAnsi="Times New Roman" w:eastAsia="宋体" w:cs="Times New Roman"/>
          <w:b/>
          <w:spacing w:val="2"/>
          <w:w w:val="89"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spacing w:val="2"/>
          <w:w w:val="89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b/>
          <w:spacing w:val="2"/>
          <w:w w:val="89"/>
          <w:kern w:val="0"/>
          <w:sz w:val="32"/>
          <w:szCs w:val="32"/>
        </w:rPr>
        <w:t xml:space="preserve"> </w:t>
      </w:r>
    </w:p>
    <w:p>
      <w:pPr>
        <w:adjustRightInd w:val="0"/>
        <w:spacing w:line="360" w:lineRule="auto"/>
        <w:ind w:firstLine="3052" w:firstLineChars="950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360" w:lineRule="auto"/>
        <w:ind w:firstLine="3052" w:firstLineChars="950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360" w:lineRule="auto"/>
        <w:ind w:firstLine="3052" w:firstLineChars="950"/>
        <w:textAlignment w:val="baseline"/>
        <w:rPr>
          <w:rFonts w:ascii="宋体" w:hAnsi="宋体" w:eastAsia="宋体" w:cs="Times New Roman"/>
          <w:b/>
          <w:sz w:val="32"/>
          <w:szCs w:val="32"/>
        </w:rPr>
      </w:pPr>
    </w:p>
    <w:p>
      <w:pPr>
        <w:adjustRightInd w:val="0"/>
        <w:spacing w:line="360" w:lineRule="auto"/>
        <w:ind w:firstLine="3373" w:firstLineChars="1050"/>
        <w:textAlignment w:val="baseline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202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32"/>
          <w:szCs w:val="32"/>
        </w:rPr>
        <w:t>年</w:t>
      </w:r>
      <w:r>
        <w:rPr>
          <w:rFonts w:hint="eastAsia" w:ascii="宋体" w:hAnsi="宋体" w:eastAsia="宋体" w:cs="Times New Roman"/>
          <w:b/>
          <w:color w:val="000000"/>
          <w:sz w:val="32"/>
          <w:szCs w:val="32"/>
          <w:lang w:val="en-US" w:eastAsia="zh-CN"/>
        </w:rPr>
        <w:t>1</w:t>
      </w:r>
      <w:bookmarkStart w:id="10" w:name="_GoBack"/>
      <w:bookmarkEnd w:id="10"/>
      <w:r>
        <w:rPr>
          <w:rFonts w:hint="eastAsia" w:ascii="宋体" w:hAnsi="宋体" w:eastAsia="宋体" w:cs="Times New Roman"/>
          <w:b/>
          <w:sz w:val="32"/>
          <w:szCs w:val="32"/>
        </w:rPr>
        <w:t>月</w:t>
      </w:r>
      <w:bookmarkStart w:id="0" w:name="_Toc361180942"/>
      <w:bookmarkStart w:id="1" w:name="_Toc9686"/>
    </w:p>
    <w:p>
      <w:pPr>
        <w:spacing w:line="360" w:lineRule="auto"/>
        <w:rPr>
          <w:rFonts w:ascii="宋体" w:hAnsi="宋体" w:eastAsia="宋体" w:cs="Arial"/>
          <w:bCs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一、总则</w:t>
      </w:r>
      <w:bookmarkEnd w:id="0"/>
      <w:bookmarkEnd w:id="1"/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：</w:t>
      </w:r>
    </w:p>
    <w:p>
      <w:pPr>
        <w:spacing w:line="360" w:lineRule="auto"/>
        <w:ind w:right="-334" w:rightChars="-159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1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、本规范书适用于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济源霖林环保能源有限公司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厂区</w:t>
      </w:r>
      <w:r>
        <w:rPr>
          <w:rFonts w:ascii="宋体" w:hAnsi="宋体" w:eastAsia="宋体" w:cs="Arial"/>
          <w:bCs/>
          <w:color w:val="000000"/>
          <w:sz w:val="28"/>
          <w:szCs w:val="28"/>
        </w:rPr>
        <w:t>道路交通标线划线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项目。它提出了保证性能指标等方面的技术规范以及安全、技术、质量要求。</w:t>
      </w: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2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本技术规范书中提出的是最低限度的要求，并未对所有细节作出规定，也未充分引述有关标准和规范的条文，投标人应保证提供符合本规范书。还应满足中华人民共和国有关工业标准的要求，本技术规范书所使用的标准若与投标人所执行的标准发生矛盾时，按较高标准执行。投标人所涉及的各项规程、规范和标准遵循现行最新版本的标准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3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、如果投标人未以书面形式对本规范书提出异议，则招标人认为投标人将完全满足本规范书的要求。如有异议，不管多么微小，都应予以详细说明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4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只有招标人有权修改本技术规范书，合同谈判将以本规范书为依据，并经招标人认可，经修改后最终确定的技术协议，与合同正文具有同等的法律效力。双方共同签署的会议纪要、补充文件等也与合同文件有相同的法律效力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5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招标人如有本技术规范书以外的要求，应以书面形式提出，双方签字确认后可作为技术规范的附件，具有与技术规范同等的效力。如果本技术规范书前后出现有不一致的描述，投标人应在投标前提出澄清，未提出澄清的则以招标人的解释为准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6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、在签订合同之后，招标人有权提出因规范标准和规程发生变化而产生的一些补充要求，具体项目由双方共同商定</w:t>
      </w:r>
      <w:r>
        <w:rPr>
          <w:rFonts w:hint="eastAsia" w:ascii="宋体" w:hAnsi="宋体" w:eastAsia="宋体" w:cs="Arial"/>
          <w:bCs/>
          <w:color w:val="000000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="宋体" w:hAnsi="宋体" w:eastAsia="宋体" w:cs="Arial"/>
          <w:bCs/>
          <w:color w:val="000000"/>
          <w:sz w:val="28"/>
          <w:szCs w:val="28"/>
        </w:rPr>
      </w:pPr>
      <w:r>
        <w:rPr>
          <w:rFonts w:ascii="宋体" w:hAnsi="宋体" w:eastAsia="宋体" w:cs="Arial"/>
          <w:bCs/>
          <w:color w:val="000000"/>
          <w:sz w:val="28"/>
          <w:szCs w:val="28"/>
        </w:rPr>
        <w:t>二</w:t>
      </w:r>
      <w:r>
        <w:rPr>
          <w:rFonts w:hint="eastAsia" w:ascii="宋体" w:hAnsi="宋体" w:eastAsia="宋体" w:cs="Arial"/>
          <w:bCs/>
          <w:color w:val="000000"/>
          <w:sz w:val="28"/>
          <w:szCs w:val="28"/>
        </w:rPr>
        <w:t>、</w:t>
      </w:r>
      <w:r>
        <w:rPr>
          <w:rFonts w:ascii="宋体" w:hAnsi="宋体" w:eastAsia="宋体" w:cs="Arial"/>
          <w:bCs/>
          <w:color w:val="000000"/>
          <w:sz w:val="28"/>
          <w:szCs w:val="28"/>
        </w:rPr>
        <w:t>工程概况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eastAsia="zh-CN"/>
        </w:rPr>
        <w:t>济源霖林环保能源有限公司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</w:rPr>
        <w:t>位于河南省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eastAsia="zh-CN"/>
        </w:rPr>
        <w:t>济源市虎岭产业集聚区虎岭一号线西五三一铁路专用线南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</w:rPr>
        <w:t>，公司</w:t>
      </w:r>
      <w:r>
        <w:rPr>
          <w:rFonts w:hint="eastAsia" w:asciiTheme="majorEastAsia" w:hAnsiTheme="majorEastAsia" w:eastAsiaTheme="majorEastAsia"/>
          <w:sz w:val="28"/>
          <w:szCs w:val="28"/>
        </w:rPr>
        <w:t>于20</w:t>
      </w: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28"/>
          <w:szCs w:val="28"/>
        </w:rPr>
        <w:t>年投产运行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公司</w:t>
      </w:r>
      <w:r>
        <w:rPr>
          <w:rFonts w:asciiTheme="majorEastAsia" w:hAnsiTheme="majorEastAsia" w:eastAsiaTheme="majorEastAsia"/>
          <w:sz w:val="28"/>
          <w:szCs w:val="28"/>
        </w:rPr>
        <w:t>厂区内道路冷漆道路交通标线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因使用年限过长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大部分标线已褪色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需在原有标线基础上标线覆盖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工程量</w:t>
      </w:r>
    </w:p>
    <w:tbl>
      <w:tblPr>
        <w:tblStyle w:val="7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35"/>
        <w:gridCol w:w="1245"/>
        <w:gridCol w:w="1035"/>
        <w:gridCol w:w="1035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网格线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6500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米</w:t>
            </w:r>
          </w:p>
        </w:tc>
        <w:tc>
          <w:tcPr>
            <w:tcW w:w="3783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白、黄、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红、蓝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材料及施工技术要求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1</w:t>
      </w:r>
      <w:r>
        <w:rPr>
          <w:rFonts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、冷喷型标线技术性能参数表：</w:t>
      </w:r>
    </w:p>
    <w:tbl>
      <w:tblPr>
        <w:tblStyle w:val="6"/>
        <w:tblW w:w="0" w:type="auto"/>
        <w:tblCellSpacing w:w="1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1"/>
        <w:gridCol w:w="784"/>
        <w:gridCol w:w="6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普通溶剂型涂料性能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厚度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0.4-0.5mm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容器中状态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应无结块、结皮现象，易于搅匀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粘度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≥100（涂4杯，S）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密度（g/m³）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施工性能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空气或无空气喷涂（或涂刮）施工性能好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涂膜外观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干燥后应无发皱、泛花、起泡、开裂、粘胎等现象，涂膜颜色和外观应与标准板差异不大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不粘胎干燥时间（min）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≤15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遮盖率%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白色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黄色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红色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色度性能（45/0）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涂料的色品坐标和亮度因数应符合JT/T280-2004中的范围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耐磨性（mg）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≤40（JM-100橡胶砂轮）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耐水性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在水中浸24小时应无异常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耐碱性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在氢氧化钙泡和溶液中浸24小时应无异常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附着性（划圈法）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≤4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柔韧性（mm）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固体含量（%）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ajorEastAsia" w:hAnsiTheme="majorEastAsia" w:eastAsiaTheme="majorEastAsia" w:cstheme="minorBidi"/>
                <w:kern w:val="2"/>
                <w:sz w:val="28"/>
                <w:szCs w:val="28"/>
                <w:lang w:val="en-US" w:eastAsia="zh-CN" w:bidi="ar-SA"/>
              </w:rPr>
              <w:t>≥60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asciiTheme="majorEastAsia" w:hAnsiTheme="majorEastAsia" w:eastAsiaTheme="majorEastAsia" w:cstheme="minorBidi"/>
          <w:kern w:val="2"/>
          <w:sz w:val="28"/>
          <w:szCs w:val="28"/>
          <w:lang w:val="en-US" w:eastAsia="zh-CN" w:bidi="ar-SA"/>
        </w:rPr>
        <w:t>、施工要求：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2.1各种道路标志和标线符合《道路交通标志和标线 GB 5768-1999 》的规范要求。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2.2划线必须连续性好，线条笔直，划线光滑平整，具有极佳的表面质量。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2.3对道路标线涂料的技术性能要求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1)鲜明的确认效果。道路标线要鲜明醒目，能给司机和行人以良好的条件反射。抗污染性能好、抗龟裂性能优、耐候性能佳、耐水性优、抗老化、长期不变色、保持色泽鲜明。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2)施工时占道时间短，标线干燥迅速。要求标线尽可能快地干燥，一般要求在35分钟占道施工后允许压线行驶。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3)附着力强。要保持标线的完整和清晰，道路涂料与地面之间必须具有很强的附着力，能够长期不脱落。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4)耐磨、耐碱性能好，使用年限长。在保证标线附着力的前提下，提高标线的厚度和耐磨性来实现较长的使用寿命。</w:t>
      </w:r>
    </w:p>
    <w:p>
      <w:pPr>
        <w:spacing w:line="44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五</w:t>
      </w:r>
      <w:r>
        <w:rPr>
          <w:rFonts w:asciiTheme="majorEastAsia" w:hAnsiTheme="majorEastAsia" w:eastAsiaTheme="majorEastAsia"/>
          <w:sz w:val="28"/>
          <w:szCs w:val="28"/>
        </w:rPr>
        <w:t>. 防疫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 xml:space="preserve">安全、文明施工 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1、施工单位必须遵守工程所在地的防疫政策和要求，做好施工人员的防疫防护措施。</w:t>
      </w:r>
    </w:p>
    <w:p>
      <w:pPr>
        <w:spacing w:line="360" w:lineRule="auto"/>
        <w:ind w:left="559" w:leftChars="266" w:firstLine="0" w:firstLineChars="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 xml:space="preserve">2、施工工程中必须做好如下安全防护措施： 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⑴施工人员必须配戴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instrText xml:space="preserve"> HYPERLINK "http://www.so.com/s?q=%E5%AE%89%E5%85%A8%E5%B8%BD&amp;ie=utf-8&amp;src=internal_wenda_recommend_textn" \t "_blank" </w:instrTex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安全帽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 xml:space="preserve">。 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 xml:space="preserve">⑵严禁施工人员酒后施工。 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 xml:space="preserve">⑶在施工人员进场前做好安全教育，并在施工中确定安全员，落实安全检查措施。 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⑷大风或大雨天气，为保证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instrText xml:space="preserve"> HYPERLINK "http://www.so.com/s?q=%E6%96%BD%E5%B7%A5%E5%AE%89%E5%85%A8&amp;ie=utf-8&amp;src=internal_wenda_recommend_textn" \t "_blank" </w:instrTex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施工安全</w:t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和施工质量，应停止施工。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⑸施工完毕要及时清理施工现场所剩的材料和垃圾，保持排水顺畅，做好工完料净场地清。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⑹施工时间应尽量避开正常办公时间，以免噪音影响业主正常办公。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bookmarkStart w:id="2" w:name="_Toc324927472"/>
      <w:bookmarkStart w:id="3" w:name="_Toc331771850"/>
      <w:bookmarkStart w:id="4" w:name="_Toc7221"/>
      <w:bookmarkStart w:id="5" w:name="_Toc168817629"/>
      <w:bookmarkStart w:id="6" w:name="_Toc168817674"/>
      <w:bookmarkStart w:id="7" w:name="_Toc140553635"/>
      <w:bookmarkStart w:id="8" w:name="_Toc293406221"/>
      <w:bookmarkStart w:id="9" w:name="_Toc361180947"/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六、质量保证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1、投标人应对本次效果负全部责任。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2、正式移交工程竣工之日起的一年时间为质量保证期。</w:t>
      </w:r>
    </w:p>
    <w:p>
      <w:pPr>
        <w:spacing w:line="360" w:lineRule="auto"/>
        <w:ind w:firstLine="560" w:firstLineChars="200"/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</w:pPr>
      <w:r>
        <w:rPr>
          <w:rFonts w:hint="eastAsia" w:cs="Arial" w:asciiTheme="majorEastAsia" w:hAnsiTheme="majorEastAsia" w:eastAsiaTheme="majorEastAsia"/>
          <w:bCs/>
          <w:color w:val="000000"/>
          <w:sz w:val="28"/>
          <w:szCs w:val="28"/>
          <w:lang w:val="en-US" w:eastAsia="zh-CN"/>
        </w:rPr>
        <w:t>3、凡属投标人责任造成的质量缺陷，由投标人负责无偿处理，如投标人不能进行处理，招标人将另选单位承修，其费用在投标人质保金中扣除。</w:t>
      </w:r>
    </w:p>
    <w:p>
      <w:pPr>
        <w:spacing w:line="44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440" w:lineRule="exact"/>
        <w:rPr>
          <w:rFonts w:ascii="新宋体" w:hAnsi="宋体" w:eastAsia="新宋体"/>
          <w:color w:val="0F0F0F"/>
          <w:kern w:val="0"/>
          <w:szCs w:val="21"/>
          <w:lang w:val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eastAsia="宋体"/>
        <w:color w:val="BFBFBF" w:themeColor="background1" w:themeShade="BF"/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6395" cy="139700"/>
              <wp:effectExtent l="0" t="0" r="8255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color w:val="D9D9D9" w:themeColor="background1" w:themeShade="D9"/>
                              <w:sz w:val="11"/>
                              <w:szCs w:val="11"/>
                            </w:rPr>
                            <w:t>欢迎下载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8.8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8FABfTAAAAAwEAAA8AAAAAAAAAAQAgAAAAIgAAAGRycy9kb3ducmV2LnhtbFBLAQIUABQA&#10;AAAIAIdO4kAYCYAmLgIAAFMEAAAOAAAAAAAAAAEAIAAAACI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4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  <w:color w:val="D9D9D9" w:themeColor="background1" w:themeShade="D9"/>
                        <w:sz w:val="11"/>
                        <w:szCs w:val="11"/>
                      </w:rPr>
                      <w:t>欢迎下载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0"/>
      </w:rPr>
      <w:t>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D9D9D9" w:themeColor="background1" w:themeShade="D9"/>
        <w:sz w:val="10"/>
        <w:szCs w:val="10"/>
      </w:rPr>
    </w:pPr>
    <w:r>
      <w:rPr>
        <w:rFonts w:hint="eastAsia"/>
        <w:color w:val="D9D9D9" w:themeColor="background1" w:themeShade="D9"/>
        <w:sz w:val="10"/>
        <w:szCs w:val="10"/>
      </w:rPr>
      <w:t>精品文档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C480D"/>
    <w:multiLevelType w:val="singleLevel"/>
    <w:tmpl w:val="D62C48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YWVjOGJlY2EyMmM3NTUwMWE3NWExYTVmMmNjODAifQ=="/>
    <w:docVar w:name="KSO_WPS_MARK_KEY" w:val="d05da015-8d4d-40af-934d-cdb27910409e"/>
  </w:docVars>
  <w:rsids>
    <w:rsidRoot w:val="00083107"/>
    <w:rsid w:val="00031B5B"/>
    <w:rsid w:val="000764EC"/>
    <w:rsid w:val="00083107"/>
    <w:rsid w:val="000D1588"/>
    <w:rsid w:val="000F52EC"/>
    <w:rsid w:val="00112B24"/>
    <w:rsid w:val="00125682"/>
    <w:rsid w:val="001D16B4"/>
    <w:rsid w:val="001E505B"/>
    <w:rsid w:val="00246016"/>
    <w:rsid w:val="002542CC"/>
    <w:rsid w:val="00274420"/>
    <w:rsid w:val="00421E8E"/>
    <w:rsid w:val="00484777"/>
    <w:rsid w:val="004F1C56"/>
    <w:rsid w:val="0083770D"/>
    <w:rsid w:val="008648BD"/>
    <w:rsid w:val="00904EAD"/>
    <w:rsid w:val="009845C1"/>
    <w:rsid w:val="00B31CC3"/>
    <w:rsid w:val="00C322F0"/>
    <w:rsid w:val="00C62A28"/>
    <w:rsid w:val="00D2235B"/>
    <w:rsid w:val="00DA28F3"/>
    <w:rsid w:val="00DA7F7B"/>
    <w:rsid w:val="00E01AE0"/>
    <w:rsid w:val="00EC5021"/>
    <w:rsid w:val="00F048CC"/>
    <w:rsid w:val="05DF78FE"/>
    <w:rsid w:val="086D08DF"/>
    <w:rsid w:val="0D383ED4"/>
    <w:rsid w:val="0D427100"/>
    <w:rsid w:val="0E724286"/>
    <w:rsid w:val="2D7525D9"/>
    <w:rsid w:val="3F4F6473"/>
    <w:rsid w:val="51621046"/>
    <w:rsid w:val="55952937"/>
    <w:rsid w:val="57875362"/>
    <w:rsid w:val="58507E4A"/>
    <w:rsid w:val="5AD83251"/>
    <w:rsid w:val="659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eastAsia="Arial" w:cs="Arial"/>
      <w:b/>
      <w:bCs/>
      <w:i/>
      <w:iCs/>
      <w:kern w:val="0"/>
      <w:sz w:val="28"/>
      <w:szCs w:val="28"/>
      <w:lang w:eastAsia="uk-U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1634</Words>
  <Characters>1709</Characters>
  <Lines>33</Lines>
  <Paragraphs>9</Paragraphs>
  <TotalTime>10</TotalTime>
  <ScaleCrop>false</ScaleCrop>
  <LinksUpToDate>false</LinksUpToDate>
  <CharactersWithSpaces>1721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2022-05-17T00:17:00Z</dcterms:created>
  <dc:creator>Administrator</dc:creator>
  <cp:lastModifiedBy>翟婵娟</cp:lastModifiedBy>
  <dcterms:modified xsi:type="dcterms:W3CDTF">2024-01-03T00:49:34Z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F4B152CB5C974D0BA162A8D75423BE35</vt:lpwstr>
  </property>
</Properties>
</file>