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hint="eastAsia" w:ascii="仿宋" w:hAnsi="仿宋" w:eastAsia="仿宋" w:cs="仿宋"/>
          <w:szCs w:val="21"/>
          <w:lang w:eastAsia="zh-CN"/>
        </w:rPr>
      </w:pPr>
      <w:bookmarkStart w:id="0" w:name="_Toc12856_WPSOffice_Level1"/>
      <w:bookmarkStart w:id="1" w:name="_Toc66697514"/>
      <w:bookmarkStart w:id="2" w:name="_Toc66638383"/>
      <w:bookmarkStart w:id="3" w:name="_Toc66698119"/>
      <w:bookmarkStart w:id="4" w:name="_Toc66695135"/>
      <w:bookmarkStart w:id="5" w:name="_Toc66859225"/>
    </w:p>
    <w:p>
      <w:pPr>
        <w:spacing w:line="360" w:lineRule="auto"/>
        <w:jc w:val="center"/>
        <w:rPr>
          <w:rFonts w:hint="eastAsia" w:ascii="仿宋" w:hAnsi="仿宋" w:eastAsia="仿宋" w:cs="仿宋"/>
          <w:b/>
          <w:sz w:val="40"/>
          <w:szCs w:val="40"/>
          <w:shd w:val="clear" w:color="auto" w:fill="FFFFFF"/>
        </w:rPr>
      </w:pPr>
    </w:p>
    <w:p>
      <w:pPr>
        <w:jc w:val="center"/>
        <w:rPr>
          <w:rFonts w:hint="eastAsia" w:ascii="宋体" w:hAnsi="宋体"/>
          <w:b/>
          <w:bCs/>
          <w:sz w:val="44"/>
          <w:szCs w:val="44"/>
        </w:rPr>
      </w:pPr>
    </w:p>
    <w:p>
      <w:pPr>
        <w:jc w:val="center"/>
        <w:rPr>
          <w:rFonts w:hint="eastAsia" w:ascii="宋体" w:hAnsi="宋体"/>
          <w:b/>
          <w:bCs/>
          <w:sz w:val="44"/>
          <w:szCs w:val="44"/>
        </w:rPr>
      </w:pPr>
      <w:r>
        <w:rPr>
          <w:rFonts w:hint="eastAsia" w:ascii="宋体" w:hAnsi="宋体"/>
          <w:b/>
          <w:bCs/>
          <w:sz w:val="44"/>
          <w:szCs w:val="44"/>
          <w:lang w:eastAsia="zh-CN"/>
        </w:rPr>
        <w:t>济源霖林环保能源有限公司</w:t>
      </w:r>
    </w:p>
    <w:p>
      <w:pPr>
        <w:jc w:val="center"/>
        <w:rPr>
          <w:rFonts w:hint="eastAsia" w:ascii="宋体" w:hAnsi="宋体"/>
          <w:b/>
          <w:bCs/>
          <w:sz w:val="44"/>
          <w:szCs w:val="44"/>
          <w:lang w:eastAsia="zh-CN"/>
        </w:rPr>
      </w:pPr>
      <w:r>
        <w:rPr>
          <w:rFonts w:hint="eastAsia" w:ascii="宋体" w:hAnsi="宋体"/>
          <w:b/>
          <w:bCs/>
          <w:sz w:val="44"/>
          <w:szCs w:val="44"/>
          <w:lang w:eastAsia="zh-CN"/>
        </w:rPr>
        <w:t>渗滤液站区域室外防火整改</w:t>
      </w:r>
      <w:bookmarkStart w:id="19" w:name="_GoBack"/>
      <w:bookmarkEnd w:id="19"/>
      <w:r>
        <w:rPr>
          <w:rFonts w:hint="eastAsia" w:ascii="宋体" w:hAnsi="宋体"/>
          <w:b/>
          <w:bCs/>
          <w:sz w:val="44"/>
          <w:szCs w:val="44"/>
          <w:lang w:eastAsia="zh-CN"/>
        </w:rPr>
        <w:t xml:space="preserve">   </w:t>
      </w:r>
    </w:p>
    <w:p>
      <w:pPr>
        <w:jc w:val="center"/>
        <w:rPr>
          <w:rFonts w:hint="eastAsia" w:ascii="宋体" w:hAnsi="宋体" w:cs="宋体"/>
          <w:b/>
          <w:spacing w:val="12"/>
          <w:sz w:val="44"/>
          <w:szCs w:val="44"/>
          <w:lang w:eastAsia="zh-CN"/>
        </w:rPr>
      </w:pPr>
    </w:p>
    <w:p>
      <w:pPr>
        <w:jc w:val="center"/>
        <w:rPr>
          <w:rFonts w:hint="default" w:ascii="仿宋" w:hAnsi="仿宋" w:eastAsia="宋体" w:cs="仿宋"/>
          <w:b/>
          <w:bCs/>
          <w:sz w:val="48"/>
          <w:szCs w:val="48"/>
          <w:lang w:val="en-US" w:eastAsia="zh-CN"/>
        </w:rPr>
      </w:pPr>
      <w:r>
        <w:rPr>
          <w:rFonts w:hint="eastAsia" w:ascii="宋体" w:hAnsi="宋体" w:cs="宋体"/>
          <w:b/>
          <w:spacing w:val="12"/>
          <w:sz w:val="44"/>
          <w:szCs w:val="44"/>
          <w:lang w:eastAsia="zh-CN"/>
        </w:rPr>
        <w:t>技术</w:t>
      </w:r>
      <w:r>
        <w:rPr>
          <w:rFonts w:hint="eastAsia" w:ascii="宋体" w:hAnsi="宋体" w:cs="宋体"/>
          <w:b/>
          <w:spacing w:val="12"/>
          <w:sz w:val="44"/>
          <w:szCs w:val="44"/>
          <w:lang w:val="en-US" w:eastAsia="zh-CN"/>
        </w:rPr>
        <w:t>规格书</w:t>
      </w: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pStyle w:val="10"/>
        <w:spacing w:line="360" w:lineRule="auto"/>
        <w:jc w:val="center"/>
        <w:rPr>
          <w:rFonts w:hint="eastAsia" w:ascii="仿宋" w:hAnsi="仿宋" w:eastAsia="仿宋" w:cs="仿宋"/>
          <w:sz w:val="32"/>
          <w:lang w:eastAsia="zh-CN"/>
        </w:rPr>
      </w:pPr>
    </w:p>
    <w:p>
      <w:pPr>
        <w:spacing w:line="360" w:lineRule="auto"/>
        <w:ind w:firstLine="560"/>
        <w:rPr>
          <w:rFonts w:hint="eastAsia" w:ascii="仿宋" w:hAnsi="仿宋" w:eastAsia="仿宋" w:cs="仿宋"/>
        </w:rPr>
      </w:pPr>
    </w:p>
    <w:p>
      <w:pPr>
        <w:spacing w:line="360" w:lineRule="auto"/>
        <w:ind w:firstLine="562"/>
        <w:rPr>
          <w:rFonts w:hint="eastAsia" w:ascii="仿宋" w:hAnsi="仿宋" w:eastAsia="仿宋" w:cs="仿宋"/>
          <w:b/>
          <w:szCs w:val="28"/>
        </w:rPr>
      </w:pPr>
    </w:p>
    <w:p>
      <w:pPr>
        <w:spacing w:line="360" w:lineRule="auto"/>
        <w:ind w:firstLine="562"/>
        <w:rPr>
          <w:rFonts w:hint="eastAsia" w:ascii="仿宋" w:hAnsi="仿宋" w:eastAsia="仿宋" w:cs="仿宋"/>
          <w:b/>
          <w:szCs w:val="28"/>
        </w:rPr>
      </w:pPr>
    </w:p>
    <w:p>
      <w:pPr>
        <w:pStyle w:val="10"/>
        <w:spacing w:line="360" w:lineRule="auto"/>
        <w:jc w:val="center"/>
        <w:rPr>
          <w:rFonts w:hint="eastAsia" w:ascii="仿宋" w:hAnsi="仿宋" w:eastAsia="仿宋" w:cs="仿宋"/>
          <w:sz w:val="32"/>
          <w:lang w:eastAsia="zh-CN"/>
        </w:rPr>
      </w:pPr>
    </w:p>
    <w:p>
      <w:pPr>
        <w:jc w:val="center"/>
        <w:rPr>
          <w:rFonts w:hint="eastAsia" w:ascii="宋体" w:hAnsi="宋体" w:cs="宋体"/>
          <w:b/>
          <w:spacing w:val="12"/>
          <w:sz w:val="44"/>
          <w:szCs w:val="44"/>
        </w:rPr>
      </w:pPr>
      <w:r>
        <w:rPr>
          <w:rFonts w:hint="eastAsia" w:ascii="宋体" w:hAnsi="宋体" w:cs="宋体"/>
          <w:b/>
          <w:spacing w:val="12"/>
          <w:sz w:val="44"/>
          <w:szCs w:val="44"/>
          <w:lang w:val="en-US" w:eastAsia="zh-CN"/>
        </w:rPr>
        <w:t>2023年11月</w:t>
      </w:r>
    </w:p>
    <w:p>
      <w:pPr>
        <w:rPr>
          <w:rFonts w:hint="eastAsia" w:ascii="仿宋" w:hAnsi="仿宋" w:eastAsia="仿宋" w:cs="仿宋"/>
          <w:sz w:val="28"/>
          <w:szCs w:val="28"/>
        </w:rPr>
      </w:pPr>
    </w:p>
    <w:p>
      <w:pPr>
        <w:rPr>
          <w:rFonts w:hint="eastAsia"/>
        </w:rPr>
      </w:pPr>
    </w:p>
    <w:p>
      <w:pPr>
        <w:tabs>
          <w:tab w:val="left" w:pos="965"/>
        </w:tabs>
        <w:jc w:val="left"/>
        <w:rPr>
          <w:rFonts w:hint="eastAsia"/>
        </w:rPr>
      </w:pPr>
    </w:p>
    <w:p>
      <w:pPr>
        <w:tabs>
          <w:tab w:val="left" w:pos="965"/>
        </w:tabs>
        <w:jc w:val="left"/>
        <w:rPr>
          <w:rFonts w:hint="eastAsia"/>
        </w:rPr>
      </w:pPr>
    </w:p>
    <w:p>
      <w:pPr>
        <w:tabs>
          <w:tab w:val="left" w:pos="965"/>
        </w:tabs>
        <w:jc w:val="left"/>
        <w:rPr>
          <w:rFonts w:hint="eastAsia"/>
        </w:rPr>
      </w:pPr>
    </w:p>
    <w:p>
      <w:pPr>
        <w:tabs>
          <w:tab w:val="left" w:pos="965"/>
        </w:tabs>
        <w:jc w:val="left"/>
        <w:rPr>
          <w:rFonts w:hint="eastAsia"/>
        </w:rPr>
      </w:pPr>
    </w:p>
    <w:p>
      <w:pPr>
        <w:tabs>
          <w:tab w:val="left" w:pos="965"/>
        </w:tabs>
        <w:jc w:val="left"/>
        <w:rPr>
          <w:rFonts w:hint="eastAsia"/>
        </w:rPr>
      </w:pPr>
    </w:p>
    <w:p>
      <w:pPr>
        <w:spacing w:line="360" w:lineRule="auto"/>
        <w:jc w:val="center"/>
        <w:outlineLvl w:val="0"/>
        <w:rPr>
          <w:rFonts w:hint="eastAsia" w:asciiTheme="minorEastAsia" w:hAnsiTheme="minorEastAsia" w:eastAsiaTheme="minorEastAsia" w:cstheme="minorEastAsia"/>
          <w:b/>
          <w:color w:val="000000"/>
          <w:sz w:val="32"/>
          <w:szCs w:val="32"/>
        </w:rPr>
      </w:pPr>
      <w:bookmarkStart w:id="6" w:name="_Toc21262"/>
      <w:bookmarkStart w:id="7" w:name="_Toc26440"/>
      <w:bookmarkStart w:id="8" w:name="_Toc5907"/>
      <w:r>
        <w:rPr>
          <w:rFonts w:hint="eastAsia" w:asciiTheme="minorEastAsia" w:hAnsiTheme="minorEastAsia" w:eastAsiaTheme="minorEastAsia" w:cstheme="minorEastAsia"/>
          <w:b/>
          <w:color w:val="000000"/>
          <w:sz w:val="32"/>
          <w:szCs w:val="32"/>
        </w:rPr>
        <w:t>第一章 总则</w:t>
      </w:r>
      <w:bookmarkEnd w:id="6"/>
      <w:bookmarkEnd w:id="7"/>
      <w:bookmarkEnd w:id="8"/>
    </w:p>
    <w:p>
      <w:pPr>
        <w:spacing w:line="360" w:lineRule="auto"/>
        <w:rPr>
          <w:rFonts w:hint="eastAsia" w:asciiTheme="minorEastAsia" w:hAnsiTheme="minorEastAsia" w:eastAsiaTheme="minorEastAsia" w:cstheme="minorEastAsia"/>
          <w:bCs/>
          <w:color w:val="000000"/>
          <w:sz w:val="28"/>
          <w:szCs w:val="28"/>
        </w:rPr>
      </w:pPr>
    </w:p>
    <w:p>
      <w:pPr>
        <w:spacing w:line="360" w:lineRule="auto"/>
        <w:rPr>
          <w:rFonts w:hint="eastAsia" w:asciiTheme="minorEastAsia" w:hAnsiTheme="minorEastAsia" w:eastAsiaTheme="minorEastAsia" w:cstheme="minorEastAsia"/>
          <w:bCs/>
          <w:color w:val="000000"/>
          <w:sz w:val="28"/>
          <w:szCs w:val="28"/>
          <w:highlight w:val="yellow"/>
        </w:rPr>
      </w:pPr>
      <w:bookmarkStart w:id="9" w:name="_Toc9399"/>
      <w:bookmarkStart w:id="10" w:name="_Toc30681"/>
      <w:r>
        <w:rPr>
          <w:rFonts w:hint="eastAsia" w:asciiTheme="minorEastAsia" w:hAnsiTheme="minorEastAsia" w:eastAsiaTheme="minorEastAsia" w:cstheme="minorEastAsia"/>
          <w:bCs/>
          <w:color w:val="000000"/>
          <w:sz w:val="28"/>
          <w:szCs w:val="28"/>
        </w:rPr>
        <w:t>1.1本技术规范书适用于</w:t>
      </w:r>
      <w:r>
        <w:rPr>
          <w:rFonts w:hint="eastAsia" w:asciiTheme="minorEastAsia" w:hAnsiTheme="minorEastAsia" w:eastAsiaTheme="minorEastAsia" w:cstheme="minorEastAsia"/>
          <w:bCs/>
          <w:color w:val="000000"/>
          <w:sz w:val="28"/>
          <w:szCs w:val="28"/>
          <w:lang w:eastAsia="zh-CN"/>
        </w:rPr>
        <w:t>济源霖林</w:t>
      </w:r>
      <w:r>
        <w:rPr>
          <w:rFonts w:hint="eastAsia" w:asciiTheme="minorEastAsia" w:hAnsiTheme="minorEastAsia" w:eastAsiaTheme="minorEastAsia" w:cstheme="minorEastAsia"/>
          <w:bCs/>
          <w:color w:val="000000"/>
          <w:sz w:val="28"/>
          <w:szCs w:val="28"/>
        </w:rPr>
        <w:t>环保能源有限公司</w:t>
      </w:r>
      <w:r>
        <w:rPr>
          <w:rFonts w:hint="eastAsia" w:asciiTheme="minorEastAsia" w:hAnsiTheme="minorEastAsia" w:eastAsiaTheme="minorEastAsia" w:cstheme="minorEastAsia"/>
          <w:bCs/>
          <w:color w:val="000000"/>
          <w:sz w:val="28"/>
          <w:szCs w:val="28"/>
          <w:lang w:val="en-US" w:eastAsia="zh-CN"/>
        </w:rPr>
        <w:t>渗滤液站室外区域防火整改施工</w:t>
      </w:r>
      <w:r>
        <w:rPr>
          <w:rFonts w:hint="eastAsia" w:asciiTheme="minorEastAsia" w:hAnsiTheme="minorEastAsia" w:eastAsiaTheme="minorEastAsia" w:cstheme="minorEastAsia"/>
          <w:bCs/>
          <w:color w:val="000000"/>
          <w:sz w:val="28"/>
          <w:szCs w:val="28"/>
        </w:rPr>
        <w:t>项目，它包括了供货、运输、</w:t>
      </w:r>
      <w:r>
        <w:rPr>
          <w:rFonts w:hint="eastAsia" w:asciiTheme="minorEastAsia" w:hAnsiTheme="minorEastAsia" w:eastAsiaTheme="minorEastAsia" w:cstheme="minorEastAsia"/>
          <w:bCs/>
          <w:color w:val="000000"/>
          <w:sz w:val="28"/>
          <w:szCs w:val="28"/>
          <w:lang w:eastAsia="zh-CN"/>
        </w:rPr>
        <w:t>施工</w:t>
      </w:r>
      <w:r>
        <w:rPr>
          <w:rFonts w:hint="eastAsia" w:asciiTheme="minorEastAsia" w:hAnsiTheme="minorEastAsia" w:eastAsiaTheme="minorEastAsia" w:cstheme="minorEastAsia"/>
          <w:bCs/>
          <w:color w:val="000000"/>
          <w:sz w:val="28"/>
          <w:szCs w:val="28"/>
        </w:rPr>
        <w:t>和验收等方面的技术要求。</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1.2本技术规格书中提及的要求</w:t>
      </w:r>
      <w:r>
        <w:rPr>
          <w:rFonts w:hint="eastAsia" w:asciiTheme="minorEastAsia" w:hAnsiTheme="minorEastAsia" w:eastAsiaTheme="minorEastAsia" w:cstheme="minorEastAsia"/>
          <w:bCs/>
          <w:color w:val="000000"/>
          <w:sz w:val="28"/>
          <w:szCs w:val="28"/>
          <w:lang w:val="en-US" w:eastAsia="zh-CN"/>
        </w:rPr>
        <w:t>的施工</w:t>
      </w:r>
      <w:r>
        <w:rPr>
          <w:rFonts w:hint="eastAsia" w:asciiTheme="minorEastAsia" w:hAnsiTheme="minorEastAsia" w:eastAsiaTheme="minorEastAsia" w:cstheme="minorEastAsia"/>
          <w:bCs/>
          <w:color w:val="000000"/>
          <w:sz w:val="28"/>
          <w:szCs w:val="28"/>
          <w:lang w:eastAsia="zh-CN"/>
        </w:rPr>
        <w:t>材料</w:t>
      </w:r>
      <w:r>
        <w:rPr>
          <w:rFonts w:hint="eastAsia" w:asciiTheme="minorEastAsia" w:hAnsiTheme="minorEastAsia" w:eastAsiaTheme="minorEastAsia" w:cstheme="minorEastAsia"/>
          <w:bCs/>
          <w:color w:val="000000"/>
          <w:sz w:val="28"/>
          <w:szCs w:val="28"/>
        </w:rPr>
        <w:t>都是最低限度的要求，并未对一切技术细节作出规定，也未充分地详述有关标准和规范的条文，但投标方保证提供符合本规范书和现行</w:t>
      </w:r>
      <w:r>
        <w:rPr>
          <w:rFonts w:hint="eastAsia" w:asciiTheme="minorEastAsia" w:hAnsiTheme="minorEastAsia" w:eastAsiaTheme="minorEastAsia" w:cstheme="minorEastAsia"/>
          <w:bCs/>
          <w:color w:val="000000"/>
          <w:sz w:val="28"/>
          <w:szCs w:val="28"/>
          <w:lang w:eastAsia="zh-CN"/>
        </w:rPr>
        <w:t>行业</w:t>
      </w:r>
      <w:r>
        <w:rPr>
          <w:rFonts w:hint="eastAsia" w:asciiTheme="minorEastAsia" w:hAnsiTheme="minorEastAsia" w:eastAsiaTheme="minorEastAsia" w:cstheme="minorEastAsia"/>
          <w:bCs/>
          <w:color w:val="000000"/>
          <w:sz w:val="28"/>
          <w:szCs w:val="28"/>
        </w:rPr>
        <w:t>标准的、功能齐全的、全新的优质产品及相应服务。</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1.3投标方对所供</w:t>
      </w:r>
      <w:r>
        <w:rPr>
          <w:rFonts w:hint="eastAsia" w:asciiTheme="minorEastAsia" w:hAnsiTheme="minorEastAsia" w:eastAsiaTheme="minorEastAsia" w:cstheme="minorEastAsia"/>
          <w:bCs/>
          <w:color w:val="000000"/>
          <w:sz w:val="28"/>
          <w:szCs w:val="28"/>
          <w:lang w:val="en-US" w:eastAsia="zh-CN"/>
        </w:rPr>
        <w:t>施工</w:t>
      </w:r>
      <w:r>
        <w:rPr>
          <w:rFonts w:hint="eastAsia" w:asciiTheme="minorEastAsia" w:hAnsiTheme="minorEastAsia" w:eastAsiaTheme="minorEastAsia" w:cstheme="minorEastAsia"/>
          <w:bCs/>
          <w:color w:val="000000"/>
          <w:sz w:val="28"/>
          <w:szCs w:val="28"/>
          <w:lang w:eastAsia="zh-CN"/>
        </w:rPr>
        <w:t>材料</w:t>
      </w:r>
      <w:r>
        <w:rPr>
          <w:rFonts w:hint="eastAsia" w:asciiTheme="minorEastAsia" w:hAnsiTheme="minorEastAsia" w:eastAsiaTheme="minorEastAsia" w:cstheme="minorEastAsia"/>
          <w:bCs/>
          <w:color w:val="000000"/>
          <w:sz w:val="28"/>
          <w:szCs w:val="28"/>
        </w:rPr>
        <w:t>负有全责。</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4</w:t>
      </w:r>
      <w:r>
        <w:rPr>
          <w:rFonts w:hint="eastAsia" w:asciiTheme="minorEastAsia" w:hAnsiTheme="minorEastAsia" w:eastAsiaTheme="minorEastAsia" w:cstheme="minorEastAsia"/>
          <w:bCs/>
          <w:color w:val="000000"/>
          <w:sz w:val="28"/>
          <w:szCs w:val="28"/>
        </w:rPr>
        <w:t>如果投标方对本技术协议书的某些条款提出异议，则必须以书面形式提出，如无异议，则意味着投标方提供的</w:t>
      </w:r>
      <w:r>
        <w:rPr>
          <w:rFonts w:hint="eastAsia" w:asciiTheme="minorEastAsia" w:hAnsiTheme="minorEastAsia" w:eastAsiaTheme="minorEastAsia" w:cstheme="minorEastAsia"/>
          <w:bCs/>
          <w:color w:val="000000"/>
          <w:sz w:val="28"/>
          <w:szCs w:val="28"/>
          <w:lang w:eastAsia="zh-CN"/>
        </w:rPr>
        <w:t>材料</w:t>
      </w:r>
      <w:r>
        <w:rPr>
          <w:rFonts w:hint="eastAsia" w:asciiTheme="minorEastAsia" w:hAnsiTheme="minorEastAsia" w:eastAsiaTheme="minorEastAsia" w:cstheme="minorEastAsia"/>
          <w:bCs/>
          <w:color w:val="000000"/>
          <w:sz w:val="28"/>
          <w:szCs w:val="28"/>
        </w:rPr>
        <w:t>完全符合本招标书的要求。在签定合同之后，招标方保留对本技术提出补充要求和修改的权利，投标方应承诺予以配合。如提出修改，具体项目和条件由双方商定。</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在签定合同后，招标方有权提出因规范标准和规定或工程条件发生变化而产生的一些补充要求，所提出问题由双方共同商定，但投标方必须解决。</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6</w:t>
      </w:r>
      <w:r>
        <w:rPr>
          <w:rFonts w:hint="eastAsia" w:asciiTheme="minorEastAsia" w:hAnsiTheme="minorEastAsia" w:eastAsiaTheme="minorEastAsia" w:cstheme="minorEastAsia"/>
          <w:bCs/>
          <w:color w:val="000000"/>
          <w:sz w:val="28"/>
          <w:szCs w:val="28"/>
        </w:rPr>
        <w:t>投标方投标文件、评标过程中承诺的事项须在合同执行过程中严格遵守。</w:t>
      </w:r>
    </w:p>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1.</w:t>
      </w:r>
      <w:r>
        <w:rPr>
          <w:rFonts w:hint="eastAsia" w:asciiTheme="minorEastAsia" w:hAnsiTheme="minorEastAsia" w:eastAsiaTheme="minorEastAsia" w:cstheme="minorEastAsia"/>
          <w:bCs/>
          <w:color w:val="000000"/>
          <w:sz w:val="28"/>
          <w:szCs w:val="28"/>
          <w:lang w:val="en-US" w:eastAsia="zh-CN"/>
        </w:rPr>
        <w:t>7</w:t>
      </w:r>
      <w:r>
        <w:rPr>
          <w:rFonts w:hint="eastAsia" w:asciiTheme="minorEastAsia" w:hAnsiTheme="minorEastAsia" w:eastAsiaTheme="minorEastAsia" w:cstheme="minorEastAsia"/>
          <w:bCs/>
          <w:color w:val="000000"/>
          <w:sz w:val="28"/>
          <w:szCs w:val="28"/>
        </w:rPr>
        <w:t>本技术规范书中带有★的条款为强制性条款，不能偏离，投标方如有任何偏离则作废标处理。</w:t>
      </w:r>
    </w:p>
    <w:p>
      <w:pPr>
        <w:spacing w:line="360" w:lineRule="auto"/>
        <w:rPr>
          <w:rFonts w:hint="eastAsia" w:asciiTheme="minorEastAsia" w:hAnsiTheme="minorEastAsia" w:eastAsiaTheme="minorEastAsia" w:cstheme="minorEastAsia"/>
          <w:bCs/>
          <w:color w:val="000000"/>
          <w:sz w:val="28"/>
          <w:szCs w:val="28"/>
        </w:rPr>
      </w:pPr>
    </w:p>
    <w:p>
      <w:pPr>
        <w:pStyle w:val="4"/>
        <w:tabs>
          <w:tab w:val="center" w:pos="4394"/>
        </w:tabs>
        <w:spacing w:before="120" w:after="120" w:line="360" w:lineRule="auto"/>
        <w:jc w:val="center"/>
        <w:rPr>
          <w:rFonts w:hint="eastAsia" w:asciiTheme="minorEastAsia" w:hAnsiTheme="minorEastAsia" w:eastAsiaTheme="minorEastAsia" w:cstheme="minorEastAsia"/>
          <w:sz w:val="32"/>
          <w:szCs w:val="32"/>
        </w:rPr>
      </w:pPr>
      <w:bookmarkStart w:id="11" w:name="_Toc10804"/>
      <w:r>
        <w:rPr>
          <w:rFonts w:hint="eastAsia" w:asciiTheme="minorEastAsia" w:hAnsiTheme="minorEastAsia" w:eastAsiaTheme="minorEastAsia" w:cstheme="minorEastAsia"/>
          <w:sz w:val="32"/>
          <w:szCs w:val="32"/>
        </w:rPr>
        <w:t>第二章  概述</w:t>
      </w:r>
      <w:bookmarkEnd w:id="9"/>
      <w:bookmarkEnd w:id="10"/>
      <w:bookmarkEnd w:id="11"/>
    </w:p>
    <w:p>
      <w:pPr>
        <w:pStyle w:val="5"/>
        <w:spacing w:before="120" w:after="120" w:line="360" w:lineRule="auto"/>
        <w:rPr>
          <w:rFonts w:hint="eastAsia" w:asciiTheme="minorEastAsia" w:hAnsiTheme="minorEastAsia" w:eastAsiaTheme="minorEastAsia" w:cstheme="minorEastAsia"/>
          <w:sz w:val="28"/>
          <w:szCs w:val="28"/>
        </w:rPr>
      </w:pPr>
      <w:bookmarkStart w:id="12" w:name="_Toc25892"/>
      <w:bookmarkStart w:id="13" w:name="_Toc7381"/>
      <w:r>
        <w:rPr>
          <w:rFonts w:hint="eastAsia" w:asciiTheme="minorEastAsia" w:hAnsiTheme="minorEastAsia" w:eastAsiaTheme="minorEastAsia" w:cstheme="minorEastAsia"/>
          <w:sz w:val="28"/>
          <w:szCs w:val="28"/>
        </w:rPr>
        <w:t>2.1概况</w:t>
      </w:r>
      <w:bookmarkEnd w:id="12"/>
      <w:bookmarkEnd w:id="13"/>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本项目为</w:t>
      </w:r>
      <w:r>
        <w:rPr>
          <w:rFonts w:hint="eastAsia" w:asciiTheme="minorEastAsia" w:hAnsiTheme="minorEastAsia" w:eastAsiaTheme="minorEastAsia" w:cstheme="minorEastAsia"/>
          <w:bCs/>
          <w:color w:val="000000"/>
          <w:sz w:val="28"/>
          <w:szCs w:val="28"/>
          <w:lang w:eastAsia="zh-CN"/>
        </w:rPr>
        <w:t>济源霖林</w:t>
      </w:r>
      <w:r>
        <w:rPr>
          <w:rFonts w:hint="eastAsia" w:asciiTheme="minorEastAsia" w:hAnsiTheme="minorEastAsia" w:eastAsiaTheme="minorEastAsia" w:cstheme="minorEastAsia"/>
          <w:bCs/>
          <w:color w:val="000000"/>
          <w:sz w:val="28"/>
          <w:szCs w:val="28"/>
        </w:rPr>
        <w:t>环保能源有限公司</w:t>
      </w:r>
      <w:r>
        <w:rPr>
          <w:rFonts w:hint="eastAsia" w:asciiTheme="minorEastAsia" w:hAnsiTheme="minorEastAsia" w:eastAsiaTheme="minorEastAsia" w:cstheme="minorEastAsia"/>
          <w:bCs/>
          <w:color w:val="000000"/>
          <w:sz w:val="28"/>
          <w:szCs w:val="28"/>
          <w:lang w:val="en-US" w:eastAsia="zh-CN"/>
        </w:rPr>
        <w:t>渗滤液站室外区域防火整改施工</w:t>
      </w:r>
      <w:r>
        <w:rPr>
          <w:rFonts w:hint="eastAsia" w:asciiTheme="minorEastAsia" w:hAnsiTheme="minorEastAsia" w:eastAsiaTheme="minorEastAsia" w:cstheme="minorEastAsia"/>
          <w:sz w:val="28"/>
          <w:szCs w:val="28"/>
          <w:lang w:eastAsia="zh-CN"/>
        </w:rPr>
        <w:t>项目</w:t>
      </w:r>
      <w:r>
        <w:rPr>
          <w:rFonts w:hint="eastAsia" w:asciiTheme="minorEastAsia" w:hAnsiTheme="minorEastAsia" w:eastAsiaTheme="minorEastAsia" w:cstheme="minorEastAsia"/>
          <w:sz w:val="28"/>
          <w:szCs w:val="28"/>
          <w:lang w:val="en-US" w:eastAsia="zh-CN"/>
        </w:rPr>
        <w:t>。主要内容为：（1）室外区域裸漏黄土区域约497平米土地人工平整夯实，5-10mm砂砾石覆盖</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2)4个方形混凝土人孔切割后重新浇筑密封。</w:t>
      </w:r>
    </w:p>
    <w:p>
      <w:pPr>
        <w:ind w:firstLine="560" w:firstLineChars="200"/>
        <w:rPr>
          <w:rFonts w:hint="eastAsia" w:asciiTheme="minorEastAsia" w:hAnsiTheme="minorEastAsia" w:eastAsiaTheme="minorEastAsia" w:cstheme="minorEastAsia"/>
          <w:sz w:val="28"/>
          <w:szCs w:val="28"/>
        </w:rPr>
      </w:pPr>
    </w:p>
    <w:p>
      <w:pPr>
        <w:pStyle w:val="4"/>
        <w:tabs>
          <w:tab w:val="center" w:pos="4394"/>
        </w:tabs>
        <w:spacing w:before="120" w:after="120" w:line="360" w:lineRule="auto"/>
        <w:jc w:val="center"/>
        <w:rPr>
          <w:rFonts w:hint="eastAsia" w:asciiTheme="minorEastAsia" w:hAnsiTheme="minorEastAsia" w:eastAsiaTheme="minorEastAsia" w:cstheme="minorEastAsia"/>
          <w:sz w:val="32"/>
          <w:szCs w:val="32"/>
          <w:lang w:val="en-US" w:eastAsia="zh-CN"/>
        </w:rPr>
      </w:pPr>
      <w:bookmarkStart w:id="14" w:name="_Toc9812"/>
      <w:bookmarkStart w:id="15" w:name="_Toc26130"/>
      <w:bookmarkStart w:id="16" w:name="_Toc9636"/>
      <w:r>
        <w:rPr>
          <w:rFonts w:hint="eastAsia" w:asciiTheme="minorEastAsia" w:hAnsiTheme="minorEastAsia" w:eastAsiaTheme="minorEastAsia" w:cstheme="minorEastAsia"/>
          <w:sz w:val="32"/>
          <w:szCs w:val="32"/>
        </w:rPr>
        <w:t>第三章  招标范围</w:t>
      </w:r>
      <w:bookmarkEnd w:id="14"/>
      <w:bookmarkEnd w:id="15"/>
      <w:bookmarkEnd w:id="16"/>
      <w:r>
        <w:rPr>
          <w:rFonts w:hint="eastAsia" w:asciiTheme="minorEastAsia" w:hAnsiTheme="minorEastAsia" w:eastAsiaTheme="minorEastAsia" w:cstheme="minorEastAsia"/>
          <w:sz w:val="32"/>
          <w:szCs w:val="32"/>
          <w:lang w:val="en-US" w:eastAsia="zh-CN"/>
        </w:rPr>
        <w:t>及技术要求</w:t>
      </w:r>
    </w:p>
    <w:p>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投标方负责</w:t>
      </w:r>
      <w:r>
        <w:rPr>
          <w:rFonts w:hint="eastAsia" w:asciiTheme="minorEastAsia" w:hAnsiTheme="minorEastAsia" w:eastAsiaTheme="minorEastAsia" w:cstheme="minorEastAsia"/>
          <w:bCs/>
          <w:color w:val="000000"/>
          <w:sz w:val="28"/>
          <w:szCs w:val="28"/>
          <w:lang w:val="en-US" w:eastAsia="zh-CN"/>
        </w:rPr>
        <w:t>该项目施工</w:t>
      </w:r>
      <w:r>
        <w:rPr>
          <w:rFonts w:hint="eastAsia" w:asciiTheme="minorEastAsia" w:hAnsiTheme="minorEastAsia" w:eastAsiaTheme="minorEastAsia" w:cstheme="minorEastAsia"/>
          <w:bCs/>
          <w:color w:val="000000"/>
          <w:sz w:val="28"/>
          <w:szCs w:val="28"/>
          <w:lang w:eastAsia="zh-CN"/>
        </w:rPr>
        <w:t>的</w:t>
      </w:r>
      <w:r>
        <w:rPr>
          <w:rFonts w:hint="eastAsia" w:asciiTheme="minorEastAsia" w:hAnsiTheme="minorEastAsia" w:eastAsiaTheme="minorEastAsia" w:cstheme="minorEastAsia"/>
          <w:bCs/>
          <w:color w:val="000000"/>
          <w:sz w:val="28"/>
          <w:szCs w:val="28"/>
        </w:rPr>
        <w:t>运输、卸货、现场</w:t>
      </w:r>
      <w:r>
        <w:rPr>
          <w:rFonts w:hint="eastAsia" w:asciiTheme="minorEastAsia" w:hAnsiTheme="minorEastAsia" w:eastAsiaTheme="minorEastAsia" w:cstheme="minorEastAsia"/>
          <w:bCs/>
          <w:color w:val="000000"/>
          <w:sz w:val="28"/>
          <w:szCs w:val="28"/>
          <w:lang w:eastAsia="zh-CN"/>
        </w:rPr>
        <w:t>施工</w:t>
      </w:r>
      <w:r>
        <w:rPr>
          <w:rFonts w:hint="eastAsia" w:asciiTheme="minorEastAsia" w:hAnsiTheme="minorEastAsia" w:eastAsiaTheme="minorEastAsia" w:cstheme="minorEastAsia"/>
          <w:bCs/>
          <w:color w:val="000000"/>
          <w:sz w:val="28"/>
          <w:szCs w:val="28"/>
        </w:rPr>
        <w:t>、和售后服务。</w:t>
      </w:r>
    </w:p>
    <w:p>
      <w:pPr>
        <w:numPr>
          <w:ilvl w:val="0"/>
          <w:numId w:val="1"/>
        </w:numPr>
        <w:spacing w:line="360" w:lineRule="auto"/>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内容概述：</w:t>
      </w:r>
    </w:p>
    <w:p>
      <w:pPr>
        <w:numPr>
          <w:ilvl w:val="0"/>
          <w:numId w:val="0"/>
        </w:numPr>
        <w:spacing w:line="360" w:lineRule="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（1）本次施工区域包含1-3项区域的场地平整及砂砾石（5-10mm）铺垫施工10cm厚，（2）四个人孔门密封封堵施工。</w:t>
      </w:r>
    </w:p>
    <w:p>
      <w:pPr>
        <w:numPr>
          <w:ilvl w:val="0"/>
          <w:numId w:val="1"/>
        </w:numPr>
        <w:spacing w:line="360" w:lineRule="auto"/>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施工范围及要求详见下表：</w:t>
      </w:r>
    </w:p>
    <w:tbl>
      <w:tblPr>
        <w:tblStyle w:val="13"/>
        <w:tblW w:w="94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5"/>
        <w:gridCol w:w="3906"/>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序号</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ind w:firstLine="560" w:firstLineChars="200"/>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施工范围及内容</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施工条件及注意事项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eastAsia="zh-CN"/>
              </w:rPr>
              <w:t>1</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厌氧池与调节池间隔场地平整及人工夯实后砂砾石铺垫（16.2m*2.7m）</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区域内地下有多根地埋PE管道，地埋深度1.5米，无法使用重型机械施工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2</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厌氧池与生化池间隔场地平整及人工夯实后砂砾石铺垫（16.2m*3m）</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区域内地下有多根地埋PE管道，地埋深度1.5米，无法使用重型机械施工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3</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沼气包内部围栏区域场地平整及人工夯实后砂砾石铺垫（27m*15m）</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区域内地下有多根地埋PE沼气管道，地埋深度1.5米，无法使用机械施工。区域内有沼气、硫化氢等可燃易爆气体，施工前应做好相应防护措施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lang w:val="en-US" w:eastAsia="zh-CN"/>
              </w:rPr>
              <w:t>4</w:t>
            </w:r>
          </w:p>
        </w:tc>
        <w:tc>
          <w:tcPr>
            <w:tcW w:w="3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Theme="minorEastAsia" w:hAnsiTheme="minorEastAsia" w:eastAsiaTheme="minorEastAsia" w:cstheme="minorEastAsia"/>
                <w:bCs/>
                <w:color w:val="000000"/>
                <w:sz w:val="28"/>
                <w:szCs w:val="28"/>
                <w:lang w:val="en-US"/>
              </w:rPr>
            </w:pPr>
            <w:r>
              <w:rPr>
                <w:rFonts w:hint="eastAsia" w:asciiTheme="minorEastAsia" w:hAnsiTheme="minorEastAsia" w:eastAsiaTheme="minorEastAsia" w:cstheme="minorEastAsia"/>
                <w:bCs/>
                <w:color w:val="000000"/>
                <w:sz w:val="28"/>
                <w:szCs w:val="28"/>
                <w:lang w:val="en-US" w:eastAsia="zh-CN"/>
              </w:rPr>
              <w:t>渗滤液区域调节池顶部2个（1.5m*1.5m）、初沉池顶部2个（1m*1m）人孔切割后重新浇筑，原有人孔门密封</w:t>
            </w:r>
          </w:p>
        </w:tc>
        <w:tc>
          <w:tcPr>
            <w:tcW w:w="4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人孔区域内有沼气、硫化氢等可燃易爆气体，施工前应做好相应防护措施</w:t>
            </w:r>
          </w:p>
        </w:tc>
      </w:tr>
    </w:tbl>
    <w:p>
      <w:pPr>
        <w:spacing w:line="360" w:lineRule="auto"/>
        <w:rPr>
          <w:rFonts w:hint="default"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3.工期安排：合同签订后15天内完成。</w:t>
      </w:r>
    </w:p>
    <w:p>
      <w:pPr>
        <w:spacing w:line="360" w:lineRule="auto"/>
        <w:rPr>
          <w:rFonts w:hint="eastAsia" w:asciiTheme="minorEastAsia" w:hAnsiTheme="minorEastAsia" w:eastAsiaTheme="minorEastAsia" w:cstheme="minorEastAsia"/>
          <w:bCs/>
          <w:color w:val="000000"/>
          <w:sz w:val="28"/>
          <w:szCs w:val="28"/>
          <w:lang w:val="en-US" w:eastAsia="zh-CN"/>
        </w:rPr>
      </w:pPr>
      <w:r>
        <w:rPr>
          <w:rFonts w:hint="eastAsia" w:asciiTheme="minorEastAsia" w:hAnsiTheme="minorEastAsia" w:eastAsiaTheme="minorEastAsia" w:cstheme="minorEastAsia"/>
          <w:bCs/>
          <w:color w:val="000000"/>
          <w:sz w:val="28"/>
          <w:szCs w:val="28"/>
          <w:lang w:val="en-US" w:eastAsia="zh-CN"/>
        </w:rPr>
        <w:t>4.工程</w:t>
      </w:r>
      <w:r>
        <w:rPr>
          <w:rFonts w:hint="eastAsia" w:asciiTheme="minorEastAsia" w:hAnsiTheme="minorEastAsia" w:eastAsiaTheme="minorEastAsia" w:cstheme="minorEastAsia"/>
          <w:b w:val="0"/>
          <w:bCs/>
          <w:color w:val="000000"/>
          <w:sz w:val="28"/>
          <w:szCs w:val="28"/>
        </w:rPr>
        <w:t>技术标准和要求</w:t>
      </w:r>
      <w:r>
        <w:rPr>
          <w:rFonts w:hint="eastAsia" w:asciiTheme="minorEastAsia" w:hAnsiTheme="minorEastAsia" w:eastAsiaTheme="minorEastAsia" w:cstheme="minorEastAsia"/>
          <w:b w:val="0"/>
          <w:bCs/>
          <w:color w:val="000000"/>
          <w:sz w:val="28"/>
          <w:szCs w:val="28"/>
          <w:lang w:val="en-US" w:eastAsia="zh-CN"/>
        </w:rPr>
        <w:t>:</w:t>
      </w:r>
    </w:p>
    <w:p>
      <w:pPr>
        <w:pStyle w:val="9"/>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本工程所</w:t>
      </w:r>
      <w:r>
        <w:rPr>
          <w:rFonts w:hint="eastAsia" w:asciiTheme="minorEastAsia" w:hAnsiTheme="minorEastAsia" w:eastAsiaTheme="minorEastAsia" w:cstheme="minorEastAsia"/>
          <w:b w:val="0"/>
          <w:bCs/>
          <w:color w:val="000000"/>
          <w:sz w:val="28"/>
          <w:szCs w:val="28"/>
          <w:lang w:val="en-US" w:eastAsia="zh-CN"/>
        </w:rPr>
        <w:t>要求</w:t>
      </w:r>
      <w:r>
        <w:rPr>
          <w:rFonts w:hint="eastAsia" w:asciiTheme="minorEastAsia" w:hAnsiTheme="minorEastAsia" w:eastAsiaTheme="minorEastAsia" w:cstheme="minorEastAsia"/>
          <w:b w:val="0"/>
          <w:bCs/>
          <w:color w:val="000000"/>
          <w:sz w:val="28"/>
          <w:szCs w:val="28"/>
        </w:rPr>
        <w:t>的技术标准和要求是以中国国家公布的所有现行规范及地方政府有关的现行规定。本工程所说明的技术标准和要求亦包括设计说明、施工说明、做法说明及要求等。承包人亦须按此等说明及要求执行，若此等说明及要求与国家规范及地方政府有关的现行规定之间有差异，承包人须按较高之标准执行。除本章节中表述的各项内容外，其它技术要求需要满足设计要求。该技术文件是招标文件的重要组成部分，并具有同样的效力，竞标人应有充分的重视和细致的理解。当与招标文件存在不一致的情况，发标人具有最终解释权。</w:t>
      </w:r>
    </w:p>
    <w:bookmarkEnd w:id="0"/>
    <w:p>
      <w:pPr>
        <w:pStyle w:val="2"/>
        <w:rPr>
          <w:rFonts w:hint="eastAsia"/>
          <w:lang w:val="en-US" w:eastAsia="zh-CN"/>
        </w:rPr>
      </w:pPr>
    </w:p>
    <w:bookmarkEnd w:id="1"/>
    <w:bookmarkEnd w:id="2"/>
    <w:bookmarkEnd w:id="3"/>
    <w:bookmarkEnd w:id="4"/>
    <w:bookmarkEnd w:id="5"/>
    <w:p>
      <w:pPr>
        <w:pStyle w:val="4"/>
        <w:tabs>
          <w:tab w:val="center" w:pos="4394"/>
        </w:tabs>
        <w:spacing w:before="120" w:after="120" w:line="360" w:lineRule="auto"/>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第四章 安全文明施工要求</w:t>
      </w:r>
    </w:p>
    <w:p>
      <w:pPr>
        <w:pStyle w:val="4"/>
        <w:tabs>
          <w:tab w:val="center" w:pos="4394"/>
        </w:tabs>
        <w:spacing w:before="120" w:after="120" w:line="360" w:lineRule="auto"/>
        <w:jc w:val="center"/>
        <w:rPr>
          <w:rFonts w:hint="eastAsia" w:asciiTheme="minorEastAsia" w:hAnsiTheme="minorEastAsia" w:eastAsiaTheme="minorEastAsia" w:cstheme="minorEastAsia"/>
          <w:b w:val="0"/>
          <w:bCs/>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1．安全目标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（1）不发生伤亡、火灾等事故。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（2）不发生坍塌、倾覆、高空坠落、触电、火灾、人身伤亡等重大安全事故。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（3）不发生重大设备损坏事故。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（4）轻伤负伤频率不大于1‰。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2.1承包商必须认真落实国家、地方政府和上级劳动保护和安全生产主管部门发布的有关安全问题有关生产和消防的法律、法规、方针、政策，应严格按照有关劳动保护法律、法规和规定执行。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2.2承包人的施工现场必须符合国家和地方有关安全文明施工规范、规定和标准的要求。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2.3承包人应按照国家有关规定，建立项目施工安全管理机构，建立健全安全管理制度。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2.4现场的施工机械、电气设备和线路必须符合有关规程的要求，经施工负责人组织验收合格后，方可使用。严禁机电设备带“病”运转或超负荷使用。机械设备的危险部位，须有安全防护装置，超重设备要有限位保护装置。所有设备都要建立定期保养、维修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2.5施工过程中，施工单位应当教育施工人员认真做好个人每天工作完成后的落手清工作，当天做到工完料净地清，并对建筑垃圾工作当天及时清理运走，不准在现场堆放，并在第一时间运到指定堆放地点。不得倒入河道和业主生活垃圾容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2.6施工现场内使用的电箱、电器和用电线路架设必须符合安装规范和安全操作规程，并按照施工组织设计进行架设，严禁任意拉线接电。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2.7施工机械进场必须经过安全检查，经检查合格后方能使用。禁止无证人员操作。施工机械操作人员必须建立机组责任制，并依照有关规定持证上岗，穿好工作服和工作鞋，文明施工，按施工安全条例施工，并定期进行施工安全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2.8竣工清理和保洁：承包人应在整体工程竣工前按要求进行全面彻底的竣工清理和保洁。</w:t>
      </w:r>
    </w:p>
    <w:p>
      <w:pPr>
        <w:rPr>
          <w:rFonts w:hint="eastAsia" w:asciiTheme="minorEastAsia" w:hAnsiTheme="minorEastAsia" w:eastAsiaTheme="minorEastAsia" w:cstheme="minorEastAsia"/>
          <w:b w:val="0"/>
          <w:bCs/>
          <w:color w:val="000000"/>
          <w:kern w:val="2"/>
          <w:sz w:val="28"/>
          <w:szCs w:val="28"/>
          <w:lang w:val="en-US" w:eastAsia="zh-CN" w:bidi="ar-SA"/>
        </w:rPr>
      </w:pPr>
      <w:bookmarkStart w:id="17" w:name="_Toc371677478"/>
      <w:r>
        <w:rPr>
          <w:rFonts w:hint="eastAsia" w:asciiTheme="minorEastAsia" w:hAnsiTheme="minorEastAsia" w:eastAsiaTheme="minorEastAsia" w:cstheme="minorEastAsia"/>
          <w:b w:val="0"/>
          <w:bCs/>
          <w:color w:val="000000"/>
          <w:kern w:val="2"/>
          <w:sz w:val="28"/>
          <w:szCs w:val="28"/>
          <w:lang w:val="en-US" w:eastAsia="zh-CN" w:bidi="ar-SA"/>
        </w:rPr>
        <w:t>五、成品及半成品保护和材料进场检验、试验</w:t>
      </w:r>
      <w:bookmarkEnd w:id="1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1．施工单位协调安排进场材料的堆放场地，对精装施工范围内的所有成品、半成品保护负有总体上的监护责任。施工过程中，对于工程上所有已施工/安装完成的各种半成品及成品，无论是否为承包人自施，承包人均负有看护及保管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2．材料进场办理书面交接，施工过程中严格执行工作面交接制度，办理书面工序交接手续。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3．施工中所有施工成品、半成品必须悬挂醒目的成品保护标识、警句及安全标志。施工区域实行封闭式管理，采取谁作业谁负责的原则，并设立专人监督看护。</w:t>
      </w:r>
    </w:p>
    <w:p>
      <w:pPr>
        <w:rPr>
          <w:rFonts w:hint="eastAsia" w:asciiTheme="minorEastAsia" w:hAnsiTheme="minorEastAsia" w:eastAsiaTheme="minorEastAsia" w:cstheme="minorEastAsia"/>
          <w:b w:val="0"/>
          <w:bCs/>
          <w:color w:val="000000"/>
          <w:kern w:val="2"/>
          <w:sz w:val="28"/>
          <w:szCs w:val="28"/>
          <w:lang w:val="en-US" w:eastAsia="zh-CN" w:bidi="ar-SA"/>
        </w:rPr>
      </w:pPr>
      <w:bookmarkStart w:id="18" w:name="_Toc371677479"/>
      <w:r>
        <w:rPr>
          <w:rFonts w:hint="eastAsia" w:asciiTheme="minorEastAsia" w:hAnsiTheme="minorEastAsia" w:eastAsiaTheme="minorEastAsia" w:cstheme="minorEastAsia"/>
          <w:b w:val="0"/>
          <w:bCs/>
          <w:color w:val="000000"/>
          <w:kern w:val="2"/>
          <w:sz w:val="28"/>
          <w:szCs w:val="28"/>
          <w:lang w:val="en-US" w:eastAsia="zh-CN" w:bidi="ar-SA"/>
        </w:rPr>
        <w:t>六、承包人应具备下列必要条件：</w:t>
      </w:r>
      <w:bookmarkEnd w:id="18"/>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1．中标方需派一名经发包人认可的项目经理担任本工程项目经理，代表总公司法人，全权办理发包人和中标方一切事务，协调公司内部各级部门关系。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2．中标方需在现场配备设计人员，结合施工现场进行现场二次深化设计。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3．投标方必须具备与本工程相适应的技术负责人、各专业技术人员和机械设备的配备。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b w:val="0"/>
          <w:bCs/>
          <w:color w:val="000000"/>
          <w:kern w:val="2"/>
          <w:sz w:val="28"/>
          <w:szCs w:val="28"/>
          <w:lang w:val="en-US" w:eastAsia="zh-CN" w:bidi="ar-SA"/>
        </w:rPr>
      </w:pPr>
      <w:r>
        <w:rPr>
          <w:rFonts w:hint="eastAsia" w:asciiTheme="minorEastAsia" w:hAnsiTheme="minorEastAsia" w:eastAsiaTheme="minorEastAsia" w:cstheme="minorEastAsia"/>
          <w:b w:val="0"/>
          <w:bCs/>
          <w:color w:val="000000"/>
          <w:kern w:val="2"/>
          <w:sz w:val="28"/>
          <w:szCs w:val="28"/>
          <w:lang w:val="en-US" w:eastAsia="zh-CN" w:bidi="ar-SA"/>
        </w:rPr>
        <w:t>4．投标方必须严格遵守和履行招投标文件和合同中各条款的约定。</w:t>
      </w:r>
    </w:p>
    <w:p>
      <w:pPr>
        <w:keepNext w:val="0"/>
        <w:keepLines w:val="0"/>
        <w:pageBreakBefore w:val="0"/>
        <w:widowControl w:val="0"/>
        <w:kinsoku/>
        <w:wordWrap/>
        <w:overflowPunct/>
        <w:topLinePunct w:val="0"/>
        <w:autoSpaceDE w:val="0"/>
        <w:autoSpaceDN w:val="0"/>
        <w:bidi w:val="0"/>
        <w:adjustRightInd w:val="0"/>
        <w:snapToGrid/>
        <w:spacing w:line="360" w:lineRule="auto"/>
        <w:ind w:left="4" w:leftChars="0" w:firstLine="560" w:firstLineChars="200"/>
        <w:textAlignment w:val="auto"/>
        <w:rPr>
          <w:rFonts w:hint="eastAsia" w:ascii="仿宋" w:hAnsi="仿宋" w:eastAsia="仿宋" w:cs="仿宋"/>
          <w:b w:val="0"/>
          <w:bCs/>
          <w:color w:val="000000"/>
          <w:kern w:val="2"/>
          <w:sz w:val="28"/>
          <w:szCs w:val="28"/>
          <w:lang w:val="zh-CN" w:eastAsia="zh-CN" w:bidi="ar-SA"/>
        </w:rPr>
      </w:pPr>
    </w:p>
    <w:p/>
    <w:sectPr>
      <w:headerReference r:id="rId3" w:type="first"/>
      <w:footerReference r:id="rId5" w:type="first"/>
      <w:footerReference r:id="rId4" w:type="default"/>
      <w:pgSz w:w="11906" w:h="16838"/>
      <w:pgMar w:top="1440" w:right="1418" w:bottom="1440" w:left="1418" w:header="851" w:footer="992" w:gutter="0"/>
      <w:pgNumType w:start="1" w:chapStyle="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5"/>
      </w:rPr>
    </w:pPr>
    <w:r>
      <mc:AlternateContent>
        <mc:Choice Requires="wps">
          <w:drawing>
            <wp:anchor distT="0" distB="0" distL="114300" distR="114300" simplePos="0" relativeHeight="251659264" behindDoc="0" locked="0" layoutInCell="1" allowOverlap="1">
              <wp:simplePos x="0" y="0"/>
              <wp:positionH relativeFrom="margin">
                <wp:posOffset>2971800</wp:posOffset>
              </wp:positionH>
              <wp:positionV relativeFrom="paragraph">
                <wp:posOffset>12700</wp:posOffset>
              </wp:positionV>
              <wp:extent cx="358775" cy="180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8775" cy="180340"/>
                      </a:xfrm>
                      <a:prstGeom prst="rect">
                        <a:avLst/>
                      </a:prstGeom>
                      <a:noFill/>
                      <a:ln>
                        <a:noFill/>
                      </a:ln>
                    </wps:spPr>
                    <wps:txbx>
                      <w:txbxContent>
                        <w:p>
                          <w:pPr>
                            <w:pStyle w:val="7"/>
                          </w:pPr>
                          <w:r>
                            <w:fldChar w:fldCharType="begin"/>
                          </w:r>
                          <w:r>
                            <w:instrText xml:space="preserve"> PAGE  \* MERGEFORMAT </w:instrText>
                          </w:r>
                          <w:r>
                            <w:fldChar w:fldCharType="separate"/>
                          </w:r>
                          <w:r>
                            <w:t>- 3 -</w:t>
                          </w:r>
                          <w:r>
                            <w:fldChar w:fldCharType="end"/>
                          </w:r>
                        </w:p>
                      </w:txbxContent>
                    </wps:txbx>
                    <wps:bodyPr lIns="0" tIns="0" rIns="0" bIns="0" upright="0"/>
                  </wps:wsp>
                </a:graphicData>
              </a:graphic>
            </wp:anchor>
          </w:drawing>
        </mc:Choice>
        <mc:Fallback>
          <w:pict>
            <v:shape id="_x0000_s1026" o:spid="_x0000_s1026" o:spt="202" type="#_x0000_t202" style="position:absolute;left:0pt;margin-left:234pt;margin-top:1pt;height:14.2pt;width:28.25pt;mso-position-horizontal-relative:margin;z-index:251659264;mso-width-relative:page;mso-height-relative:page;" filled="f" stroked="f" coordsize="21600,21600" o:gfxdata="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TpLJ2AAAAAgBAAAPAAAAAAAAAAEAIAAAACIAAABkcnMvZG93bnJldi54bWxQSwEC&#10;FAAUAAAACACHTuJAbFdTUrsBAABxAwAADgAAAAAAAAABACAAAAAnAQAAZHJzL2Uyb0RvYy54bWxQ&#10;SwUGAAAAAAYABgBZAQAAVAUAAAAA&#10;">
              <v:fill on="f" focussize="0,0"/>
              <v:stroke on="f"/>
              <v:imagedata o:title=""/>
              <o:lock v:ext="edit" aspectratio="f"/>
              <v:textbox inset="0mm,0mm,0mm,0mm">
                <w:txbxContent>
                  <w:p>
                    <w:pPr>
                      <w:pStyle w:val="7"/>
                    </w:pPr>
                    <w:r>
                      <w:fldChar w:fldCharType="begin"/>
                    </w:r>
                    <w:r>
                      <w:instrText xml:space="preserve"> PAGE  \* MERGEFORMAT </w:instrText>
                    </w:r>
                    <w:r>
                      <w:fldChar w:fldCharType="separate"/>
                    </w:r>
                    <w:r>
                      <w:t>- 3 -</w:t>
                    </w:r>
                    <w:r>
                      <w:fldChar w:fldCharType="end"/>
                    </w:r>
                  </w:p>
                </w:txbxContent>
              </v:textbox>
            </v:shape>
          </w:pict>
        </mc:Fallback>
      </mc:AlternateContent>
    </w:r>
  </w:p>
  <w:p>
    <w:pPr>
      <w:pStyle w:val="7"/>
      <w:tabs>
        <w:tab w:val="left" w:pos="5135"/>
      </w:tabs>
      <w:ind w:right="360"/>
      <w:rPr>
        <w:rFonts w:hint="eastAsia"/>
      </w:rPr>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90" w:firstLineChars="50"/>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A851C"/>
    <w:multiLevelType w:val="singleLevel"/>
    <w:tmpl w:val="E75A85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YWVjOGJlY2EyMmM3NTUwMWE3NWExYTVmMmNjODAifQ=="/>
  </w:docVars>
  <w:rsids>
    <w:rsidRoot w:val="343C7E58"/>
    <w:rsid w:val="08D8516E"/>
    <w:rsid w:val="09306D58"/>
    <w:rsid w:val="13B668C3"/>
    <w:rsid w:val="1DFD52FD"/>
    <w:rsid w:val="2F781DC6"/>
    <w:rsid w:val="3326639D"/>
    <w:rsid w:val="343C7E58"/>
    <w:rsid w:val="3BB64EB9"/>
    <w:rsid w:val="479E4E39"/>
    <w:rsid w:val="48DF4C65"/>
    <w:rsid w:val="48E3583D"/>
    <w:rsid w:val="4BD034A7"/>
    <w:rsid w:val="53D97D5A"/>
    <w:rsid w:val="5C566E68"/>
    <w:rsid w:val="608B3397"/>
    <w:rsid w:val="6CD75FEC"/>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76" w:lineRule="auto"/>
      <w:outlineLvl w:val="0"/>
    </w:pPr>
    <w:rPr>
      <w:b/>
      <w:bCs/>
      <w:kern w:val="44"/>
      <w:sz w:val="44"/>
      <w:szCs w:val="44"/>
    </w:rPr>
  </w:style>
  <w:style w:type="paragraph" w:styleId="5">
    <w:name w:val="heading 2"/>
    <w:basedOn w:val="1"/>
    <w:next w:val="1"/>
    <w:qFormat/>
    <w:uiPriority w:val="0"/>
    <w:pPr>
      <w:keepNext/>
      <w:keepLines/>
      <w:tabs>
        <w:tab w:val="center" w:pos="4394"/>
      </w:tabs>
      <w:spacing w:before="260" w:after="260" w:line="415" w:lineRule="auto"/>
      <w:outlineLvl w:val="1"/>
    </w:pPr>
    <w:rPr>
      <w:rFonts w:ascii="Arial" w:hAnsi="Arial" w:eastAsia="黑体"/>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envelope return"/>
    <w:basedOn w:val="1"/>
    <w:qFormat/>
    <w:uiPriority w:val="0"/>
    <w:pPr>
      <w:snapToGrid w:val="0"/>
    </w:pPr>
    <w:rPr>
      <w:rFonts w:ascii="Arial" w:hAnsi="Arial" w:cs="Arial"/>
    </w:rPr>
  </w:style>
  <w:style w:type="paragraph" w:styleId="6">
    <w:name w:val="Body Text"/>
    <w:basedOn w:val="1"/>
    <w:next w:val="1"/>
    <w:qFormat/>
    <w:uiPriority w:val="0"/>
    <w:pPr>
      <w:spacing w:line="400" w:lineRule="exact"/>
    </w:pPr>
    <w:rPr>
      <w:szCs w:val="21"/>
    </w:rPr>
  </w:style>
  <w:style w:type="paragraph" w:styleId="7">
    <w:name w:val="footer"/>
    <w:basedOn w:val="1"/>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9">
    <w:name w:val="toc 6"/>
    <w:basedOn w:val="1"/>
    <w:next w:val="1"/>
    <w:semiHidden/>
    <w:qFormat/>
    <w:uiPriority w:val="0"/>
    <w:pPr>
      <w:ind w:left="1200"/>
      <w:jc w:val="left"/>
    </w:pPr>
    <w:rPr>
      <w:rFonts w:ascii="Calibri" w:hAnsi="Calibri" w:cs="Calibri"/>
      <w:sz w:val="18"/>
      <w:szCs w:val="18"/>
    </w:rPr>
  </w:style>
  <w:style w:type="paragraph" w:styleId="10">
    <w:name w:val="Normal (Web)"/>
    <w:basedOn w:val="1"/>
    <w:qFormat/>
    <w:uiPriority w:val="0"/>
    <w:pPr>
      <w:spacing w:line="240" w:lineRule="auto"/>
      <w:ind w:firstLine="0" w:firstLineChars="0"/>
    </w:pPr>
    <w:rPr>
      <w:rFonts w:ascii="宋体" w:hAnsi="宋体" w:eastAsia="宋体" w:cs="宋体"/>
      <w:kern w:val="0"/>
      <w:sz w:val="24"/>
      <w:lang w:eastAsia="en-US"/>
    </w:rPr>
  </w:style>
  <w:style w:type="paragraph" w:styleId="11">
    <w:name w:val="Body Text First Indent"/>
    <w:basedOn w:val="6"/>
    <w:next w:val="12"/>
    <w:qFormat/>
    <w:uiPriority w:val="0"/>
    <w:pPr>
      <w:tabs>
        <w:tab w:val="left" w:pos="720"/>
      </w:tabs>
      <w:spacing w:after="120" w:line="312" w:lineRule="atLeast"/>
      <w:ind w:firstLine="420"/>
    </w:pPr>
    <w:rPr>
      <w:rFonts w:ascii="Times New Roman"/>
      <w:sz w:val="21"/>
    </w:rPr>
  </w:style>
  <w:style w:type="paragraph" w:styleId="12">
    <w:name w:val="Body Text First Indent 2"/>
    <w:basedOn w:val="2"/>
    <w:next w:val="1"/>
    <w:qFormat/>
    <w:uiPriority w:val="0"/>
    <w:pPr>
      <w:ind w:firstLine="420" w:firstLineChars="200"/>
    </w:pPr>
  </w:style>
  <w:style w:type="character" w:styleId="15">
    <w:name w:val="page number"/>
    <w:qFormat/>
    <w:uiPriority w:val="0"/>
  </w:style>
  <w:style w:type="paragraph" w:customStyle="1" w:styleId="16">
    <w:name w:val="正文1级"/>
    <w:qFormat/>
    <w:uiPriority w:val="1"/>
    <w:pPr>
      <w:widowControl w:val="0"/>
      <w:spacing w:line="360" w:lineRule="auto"/>
      <w:ind w:left="200" w:leftChars="200" w:firstLine="200" w:firstLineChars="200"/>
      <w:jc w:val="both"/>
    </w:pPr>
    <w:rPr>
      <w:rFonts w:ascii="Arial" w:hAnsi="Arial" w:eastAsia="宋体" w:cs="Times New Roman"/>
      <w:kern w:val="0"/>
      <w:sz w:val="21"/>
      <w:szCs w:val="22"/>
      <w:lang w:val="fr-FR" w:eastAsia="zh-CN" w:bidi="ar-SA"/>
    </w:rPr>
  </w:style>
  <w:style w:type="character" w:customStyle="1" w:styleId="17">
    <w:name w:val="font01"/>
    <w:basedOn w:val="14"/>
    <w:qFormat/>
    <w:uiPriority w:val="0"/>
    <w:rPr>
      <w:rFonts w:hint="eastAsia" w:ascii="宋体" w:hAnsi="宋体" w:eastAsia="宋体" w:cs="宋体"/>
      <w:color w:val="000000"/>
      <w:sz w:val="22"/>
      <w:szCs w:val="22"/>
      <w:u w:val="none"/>
    </w:rPr>
  </w:style>
  <w:style w:type="character" w:customStyle="1" w:styleId="18">
    <w:name w:val="font31"/>
    <w:basedOn w:val="14"/>
    <w:qFormat/>
    <w:uiPriority w:val="0"/>
    <w:rPr>
      <w:rFonts w:ascii="Calibri" w:hAnsi="Calibri" w:cs="Calibri"/>
      <w:color w:val="000000"/>
      <w:sz w:val="22"/>
      <w:szCs w:val="22"/>
      <w:u w:val="none"/>
    </w:rPr>
  </w:style>
  <w:style w:type="paragraph" w:customStyle="1" w:styleId="19">
    <w:name w:val="无格式"/>
    <w:basedOn w:val="1"/>
    <w:qFormat/>
    <w:uiPriority w:val="2"/>
    <w:rPr>
      <w:b/>
    </w:rPr>
  </w:style>
  <w:style w:type="paragraph" w:customStyle="1" w:styleId="20">
    <w:name w:val="表格标题"/>
    <w:qFormat/>
    <w:uiPriority w:val="2"/>
    <w:pPr>
      <w:spacing w:after="50" w:afterLines="50"/>
      <w:jc w:val="center"/>
    </w:pPr>
    <w:rPr>
      <w:rFonts w:ascii="Arial" w:hAnsi="Arial" w:eastAsia="宋体" w:cs="Times New Roman"/>
      <w:spacing w:val="24"/>
      <w:kern w:val="2"/>
      <w:sz w:val="24"/>
      <w:szCs w:val="22"/>
      <w:lang w:val="fr-FR" w:eastAsia="en-US" w:bidi="ar-SA"/>
    </w:rPr>
  </w:style>
  <w:style w:type="paragraph" w:customStyle="1" w:styleId="21">
    <w:name w:val="正文4级"/>
    <w:qFormat/>
    <w:uiPriority w:val="1"/>
    <w:pPr>
      <w:widowControl w:val="0"/>
      <w:spacing w:line="360" w:lineRule="auto"/>
      <w:ind w:left="420" w:leftChars="420" w:firstLine="200" w:firstLineChars="200"/>
      <w:jc w:val="both"/>
    </w:pPr>
    <w:rPr>
      <w:rFonts w:ascii="Arial" w:hAnsi="Arial" w:eastAsia="宋体" w:cs="Times New Roman"/>
      <w:kern w:val="0"/>
      <w:sz w:val="21"/>
      <w:szCs w:val="22"/>
      <w:lang w:val="fr-FR"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2365</Words>
  <Characters>2467</Characters>
  <Lines>0</Lines>
  <Paragraphs>0</Paragraphs>
  <TotalTime>57</TotalTime>
  <ScaleCrop>false</ScaleCrop>
  <LinksUpToDate>false</LinksUpToDate>
  <CharactersWithSpaces>2476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2023-09-01T07:55:00Z</dcterms:created>
  <dc:creator>恒</dc:creator>
  <cp:lastModifiedBy>翟婵娟</cp:lastModifiedBy>
  <dcterms:modified xsi:type="dcterms:W3CDTF">2023-12-04T08:33:18Z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4353C0C3592A4EF28D6EFD89F83B9A43_13</vt:lpwstr>
  </property>
</Properties>
</file>