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1.包装及形态:液体无分层，无色无香型，无刺激性气味，对人体无害;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2.有效稀释倍数: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00倍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3.产品保质期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4.所投除臭剂关于急性口毒性、急性吸入毒性及急性皮肤刺激性的检验检测结果应符合《生活垃圾除臭剂技术要求》(CJT 516-2017)，并提供检验检测报告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5.符合CJ T516 2017:生活垃圾除臭剂技术要求:硫化氢去除率92.1%、氨去除率96.7%、甲硫醇去除率95.9%、甲硫醚去除率99%;）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6.碳钢腐蚀率&lt;0.1mm/a;（为0，有对应检测报告）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7.致病菌:不得检出沙门氏菌、志贺氏菌、大肠杆菌、金黄色葡萄球菌、B-溶血性链球菌、绿脓杆菌;（均有对应检测报告）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8.不得检出六六六、滴滴涕(DDT);（均有对应检测报告）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9.大肠杆菌、金黄色葡萄球菌抑菌率≥90%;（99.99%均有对应检测报告）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10.粪大肠菌群数&lt;0.5个/ml;（为0，有对应检测报告）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  <w:lang w:val="en-US" w:eastAsia="zh-CN"/>
        </w:rPr>
        <w:t>消字号</w:t>
      </w:r>
      <w:r>
        <w:rPr>
          <w:rFonts w:hint="eastAsia"/>
          <w:sz w:val="28"/>
          <w:szCs w:val="28"/>
        </w:rPr>
        <w:t>生产企业卫生许可证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0643"/>
    <w:rsid w:val="2B3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2023-04-24T11:19:00Z</dcterms:created>
  <dc:creator>Administrator</dc:creator>
  <cp:lastModifiedBy>Administrator</cp:lastModifiedBy>
  <dcterms:modified xsi:type="dcterms:W3CDTF">2023-04-24T11:21:30Z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9A60B251A71441E39ED5B66B1C77364C</vt:lpwstr>
  </property>
</Properties>
</file>