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6" w:line="276" w:lineRule="auto"/>
        <w:ind w:left="3" w:right="4"/>
        <w:jc w:val="center"/>
        <w:rPr>
          <w:rFonts w:hint="eastAsia" w:ascii="宋体" w:hAnsi="宋体" w:eastAsia="宋体" w:cs="宋体"/>
          <w:color w:val="auto"/>
          <w:sz w:val="40"/>
          <w:szCs w:val="40"/>
          <w:highlight w:val="none"/>
          <w:lang w:val="en-US" w:eastAsia="zh-CN" w:bidi="ar-SA"/>
        </w:rPr>
      </w:pPr>
    </w:p>
    <w:p>
      <w:pPr>
        <w:spacing w:before="106" w:line="276" w:lineRule="auto"/>
        <w:ind w:left="3" w:right="4"/>
        <w:jc w:val="center"/>
        <w:rPr>
          <w:rFonts w:hint="eastAsia" w:ascii="宋体" w:hAnsi="宋体" w:eastAsia="宋体" w:cs="宋体"/>
          <w:color w:val="auto"/>
          <w:sz w:val="40"/>
          <w:szCs w:val="40"/>
          <w:highlight w:val="none"/>
          <w:lang w:val="en-US" w:eastAsia="zh-CN" w:bidi="ar-SA"/>
        </w:rPr>
      </w:pPr>
    </w:p>
    <w:p>
      <w:pPr>
        <w:spacing w:before="106" w:line="276" w:lineRule="auto"/>
        <w:ind w:left="3" w:right="4"/>
        <w:jc w:val="center"/>
        <w:rPr>
          <w:rFonts w:hint="eastAsia" w:ascii="宋体" w:hAnsi="宋体" w:eastAsia="宋体" w:cs="宋体"/>
          <w:color w:val="auto"/>
          <w:sz w:val="40"/>
          <w:szCs w:val="40"/>
          <w:highlight w:val="none"/>
          <w:lang w:val="en-US" w:eastAsia="zh-CN" w:bidi="ar-SA"/>
        </w:rPr>
      </w:pPr>
      <w:r>
        <w:rPr>
          <w:rFonts w:hint="eastAsia" w:ascii="宋体" w:hAnsi="宋体" w:eastAsia="宋体" w:cs="宋体"/>
          <w:color w:val="auto"/>
          <w:sz w:val="40"/>
          <w:szCs w:val="40"/>
          <w:highlight w:val="none"/>
          <w:lang w:val="en-US" w:eastAsia="zh-CN" w:bidi="ar-SA"/>
        </w:rPr>
        <w:t>河南沃克曼建设工程有限公司通辽市生活垃圾焚烧发电项目土建尾项工程施工</w:t>
      </w:r>
    </w:p>
    <w:p>
      <w:pPr>
        <w:pStyle w:val="12"/>
        <w:rPr>
          <w:rFonts w:hint="eastAsia" w:ascii="宋体" w:hAnsi="宋体" w:eastAsia="宋体" w:cs="宋体"/>
          <w:color w:val="auto"/>
          <w:sz w:val="24"/>
          <w:szCs w:val="24"/>
          <w:highlight w:val="none"/>
          <w:lang w:eastAsia="zh-CN"/>
        </w:rPr>
      </w:pPr>
    </w:p>
    <w:p>
      <w:pPr>
        <w:pStyle w:val="12"/>
        <w:rPr>
          <w:rFonts w:hint="eastAsia" w:ascii="宋体" w:hAnsi="宋体" w:eastAsia="宋体" w:cs="宋体"/>
          <w:color w:val="auto"/>
          <w:sz w:val="24"/>
          <w:szCs w:val="24"/>
          <w:highlight w:val="none"/>
          <w:lang w:eastAsia="zh-CN"/>
        </w:rPr>
      </w:pPr>
    </w:p>
    <w:p>
      <w:pPr>
        <w:pStyle w:val="12"/>
        <w:rPr>
          <w:rFonts w:hint="eastAsia" w:ascii="宋体" w:hAnsi="宋体" w:eastAsia="宋体" w:cs="宋体"/>
          <w:color w:val="auto"/>
          <w:sz w:val="24"/>
          <w:szCs w:val="24"/>
          <w:highlight w:val="none"/>
          <w:lang w:eastAsia="zh-CN"/>
        </w:rPr>
      </w:pPr>
    </w:p>
    <w:p>
      <w:pPr>
        <w:pStyle w:val="12"/>
        <w:rPr>
          <w:rFonts w:hint="eastAsia" w:ascii="宋体" w:hAnsi="宋体" w:eastAsia="宋体" w:cs="宋体"/>
          <w:color w:val="auto"/>
          <w:sz w:val="40"/>
          <w:szCs w:val="40"/>
          <w:highlight w:val="none"/>
          <w:lang w:val="en-US" w:eastAsia="zh-CN" w:bidi="ar-SA"/>
        </w:rPr>
      </w:pPr>
    </w:p>
    <w:p>
      <w:pPr>
        <w:pStyle w:val="12"/>
        <w:rPr>
          <w:rFonts w:hint="eastAsia" w:ascii="宋体" w:hAnsi="宋体" w:eastAsia="宋体" w:cs="宋体"/>
          <w:color w:val="auto"/>
          <w:sz w:val="40"/>
          <w:szCs w:val="40"/>
          <w:highlight w:val="none"/>
          <w:lang w:val="en-US" w:eastAsia="zh-CN" w:bidi="ar-SA"/>
        </w:rPr>
      </w:pPr>
    </w:p>
    <w:p>
      <w:pPr>
        <w:spacing w:before="106" w:line="276" w:lineRule="auto"/>
        <w:ind w:left="3" w:right="4"/>
        <w:jc w:val="center"/>
        <w:rPr>
          <w:rFonts w:hint="eastAsia" w:ascii="宋体" w:hAnsi="宋体" w:eastAsia="宋体" w:cs="宋体"/>
          <w:color w:val="auto"/>
          <w:sz w:val="40"/>
          <w:szCs w:val="40"/>
          <w:highlight w:val="none"/>
          <w:lang w:val="en-US" w:eastAsia="zh-CN" w:bidi="ar-SA"/>
        </w:rPr>
      </w:pPr>
      <w:r>
        <w:rPr>
          <w:rFonts w:hint="eastAsia" w:ascii="宋体" w:hAnsi="宋体" w:eastAsia="宋体" w:cs="宋体"/>
          <w:color w:val="auto"/>
          <w:sz w:val="40"/>
          <w:szCs w:val="40"/>
          <w:highlight w:val="none"/>
          <w:lang w:val="en-US" w:eastAsia="zh-CN" w:bidi="ar-SA"/>
        </w:rPr>
        <w:t>招标文件</w:t>
      </w:r>
    </w:p>
    <w:p>
      <w:pPr>
        <w:tabs>
          <w:tab w:val="left" w:pos="5834"/>
        </w:tabs>
        <w:spacing w:before="14" w:line="276" w:lineRule="auto"/>
        <w:jc w:val="center"/>
        <w:rPr>
          <w:rFonts w:hint="eastAsia" w:ascii="宋体" w:hAnsi="宋体" w:eastAsia="宋体" w:cs="宋体"/>
          <w:color w:val="auto"/>
          <w:sz w:val="40"/>
          <w:szCs w:val="40"/>
          <w:highlight w:val="none"/>
          <w:lang w:val="en-US" w:eastAsia="zh-CN" w:bidi="ar-SA"/>
        </w:rPr>
      </w:pPr>
      <w:r>
        <w:rPr>
          <w:rFonts w:hint="eastAsia" w:ascii="宋体" w:hAnsi="宋体" w:eastAsia="宋体" w:cs="宋体"/>
          <w:color w:val="auto"/>
          <w:sz w:val="40"/>
          <w:szCs w:val="40"/>
          <w:highlight w:val="none"/>
          <w:lang w:val="en-US" w:eastAsia="zh-CN" w:bidi="ar-SA"/>
        </w:rPr>
        <w:t>（项目编号：M4101000065000677574）</w:t>
      </w:r>
    </w:p>
    <w:p>
      <w:pPr>
        <w:pStyle w:val="12"/>
        <w:spacing w:line="276" w:lineRule="auto"/>
        <w:rPr>
          <w:rFonts w:hint="eastAsia" w:ascii="宋体" w:hAnsi="宋体" w:eastAsia="宋体" w:cs="宋体"/>
          <w:color w:val="auto"/>
          <w:sz w:val="40"/>
          <w:szCs w:val="40"/>
          <w:highlight w:val="none"/>
          <w:lang w:val="en-US" w:eastAsia="zh-CN" w:bidi="ar-SA"/>
        </w:rPr>
      </w:pPr>
    </w:p>
    <w:p>
      <w:pPr>
        <w:pStyle w:val="12"/>
        <w:spacing w:line="276" w:lineRule="auto"/>
        <w:jc w:val="center"/>
        <w:rPr>
          <w:rFonts w:hint="eastAsia" w:ascii="宋体" w:hAnsi="宋体" w:eastAsia="宋体" w:cs="宋体"/>
          <w:color w:val="auto"/>
          <w:sz w:val="40"/>
          <w:szCs w:val="40"/>
          <w:highlight w:val="none"/>
          <w:lang w:val="en-US" w:eastAsia="zh-CN" w:bidi="ar-SA"/>
        </w:rPr>
      </w:pPr>
    </w:p>
    <w:p>
      <w:pPr>
        <w:pStyle w:val="12"/>
        <w:spacing w:line="276" w:lineRule="auto"/>
        <w:jc w:val="center"/>
        <w:rPr>
          <w:rFonts w:hint="eastAsia" w:ascii="宋体" w:hAnsi="宋体" w:eastAsia="宋体" w:cs="宋体"/>
          <w:color w:val="auto"/>
          <w:sz w:val="40"/>
          <w:szCs w:val="40"/>
          <w:highlight w:val="none"/>
          <w:lang w:val="en-US" w:eastAsia="zh-CN" w:bidi="ar-SA"/>
        </w:rPr>
      </w:pPr>
    </w:p>
    <w:p>
      <w:pPr>
        <w:pStyle w:val="12"/>
        <w:spacing w:line="276" w:lineRule="auto"/>
        <w:jc w:val="center"/>
        <w:rPr>
          <w:rFonts w:hint="eastAsia" w:ascii="宋体" w:hAnsi="宋体" w:eastAsia="宋体" w:cs="宋体"/>
          <w:color w:val="auto"/>
          <w:sz w:val="40"/>
          <w:szCs w:val="40"/>
          <w:highlight w:val="none"/>
          <w:lang w:val="en-US" w:eastAsia="zh-CN" w:bidi="ar-SA"/>
        </w:rPr>
      </w:pPr>
    </w:p>
    <w:p>
      <w:pPr>
        <w:pStyle w:val="12"/>
        <w:spacing w:line="276" w:lineRule="auto"/>
        <w:jc w:val="center"/>
        <w:rPr>
          <w:rFonts w:hint="eastAsia" w:ascii="宋体" w:hAnsi="宋体" w:eastAsia="宋体" w:cs="宋体"/>
          <w:color w:val="auto"/>
          <w:sz w:val="40"/>
          <w:szCs w:val="40"/>
          <w:highlight w:val="none"/>
          <w:lang w:val="en-US" w:eastAsia="zh-CN" w:bidi="ar-SA"/>
        </w:rPr>
      </w:pPr>
    </w:p>
    <w:p>
      <w:pPr>
        <w:pStyle w:val="12"/>
        <w:spacing w:line="276" w:lineRule="auto"/>
        <w:rPr>
          <w:rFonts w:hint="eastAsia" w:ascii="宋体" w:hAnsi="宋体" w:eastAsia="宋体" w:cs="宋体"/>
          <w:color w:val="auto"/>
          <w:sz w:val="40"/>
          <w:szCs w:val="40"/>
          <w:highlight w:val="none"/>
          <w:lang w:val="en-US" w:eastAsia="zh-CN" w:bidi="ar-SA"/>
        </w:rPr>
      </w:pPr>
    </w:p>
    <w:p>
      <w:pPr>
        <w:pStyle w:val="13"/>
        <w:rPr>
          <w:rFonts w:hint="eastAsia" w:ascii="宋体" w:hAnsi="宋体" w:eastAsia="宋体" w:cs="宋体"/>
          <w:color w:val="auto"/>
          <w:sz w:val="40"/>
          <w:szCs w:val="40"/>
          <w:highlight w:val="none"/>
          <w:lang w:val="en-US" w:eastAsia="zh-CN" w:bidi="ar-SA"/>
        </w:rPr>
      </w:pPr>
    </w:p>
    <w:p>
      <w:pPr>
        <w:pStyle w:val="12"/>
        <w:rPr>
          <w:rFonts w:hint="eastAsia" w:ascii="宋体" w:hAnsi="宋体" w:eastAsia="宋体" w:cs="宋体"/>
          <w:color w:val="auto"/>
          <w:sz w:val="40"/>
          <w:szCs w:val="40"/>
          <w:highlight w:val="none"/>
          <w:lang w:val="en-US" w:eastAsia="zh-CN" w:bidi="ar-SA"/>
        </w:rPr>
      </w:pPr>
    </w:p>
    <w:p>
      <w:pPr>
        <w:pStyle w:val="13"/>
        <w:rPr>
          <w:rFonts w:hint="eastAsia" w:ascii="宋体" w:hAnsi="宋体" w:eastAsia="宋体" w:cs="宋体"/>
          <w:color w:val="auto"/>
          <w:sz w:val="40"/>
          <w:szCs w:val="40"/>
          <w:highlight w:val="none"/>
          <w:lang w:val="en-US" w:eastAsia="zh-CN" w:bidi="ar-SA"/>
        </w:rPr>
      </w:pPr>
    </w:p>
    <w:p>
      <w:pPr>
        <w:pStyle w:val="12"/>
        <w:rPr>
          <w:rFonts w:hint="eastAsia" w:ascii="宋体" w:hAnsi="宋体" w:eastAsia="宋体" w:cs="宋体"/>
          <w:color w:val="auto"/>
          <w:sz w:val="40"/>
          <w:szCs w:val="40"/>
          <w:highlight w:val="none"/>
          <w:lang w:val="en-US" w:eastAsia="zh-CN" w:bidi="ar-SA"/>
        </w:rPr>
      </w:pPr>
    </w:p>
    <w:p>
      <w:pPr>
        <w:tabs>
          <w:tab w:val="left" w:pos="2593"/>
        </w:tabs>
        <w:spacing w:before="1" w:line="276" w:lineRule="auto"/>
        <w:jc w:val="center"/>
        <w:rPr>
          <w:rFonts w:hint="eastAsia" w:ascii="宋体" w:hAnsi="宋体" w:eastAsia="宋体" w:cs="宋体"/>
          <w:color w:val="auto"/>
          <w:sz w:val="36"/>
          <w:szCs w:val="36"/>
          <w:highlight w:val="none"/>
          <w:lang w:val="en-US" w:eastAsia="zh-CN" w:bidi="ar-SA"/>
        </w:rPr>
      </w:pPr>
      <w:r>
        <w:rPr>
          <w:rFonts w:hint="eastAsia" w:ascii="宋体" w:hAnsi="宋体" w:eastAsia="宋体" w:cs="宋体"/>
          <w:color w:val="auto"/>
          <w:sz w:val="36"/>
          <w:szCs w:val="36"/>
          <w:highlight w:val="none"/>
          <w:lang w:val="en-US" w:eastAsia="zh-CN" w:bidi="ar-SA"/>
        </w:rPr>
        <w:t>招   标   人：河南沃克曼建设工程有限公司</w:t>
      </w:r>
    </w:p>
    <w:p>
      <w:pPr>
        <w:tabs>
          <w:tab w:val="left" w:pos="2593"/>
        </w:tabs>
        <w:spacing w:before="1" w:line="276" w:lineRule="auto"/>
        <w:jc w:val="center"/>
        <w:rPr>
          <w:rFonts w:hint="eastAsia" w:ascii="宋体" w:hAnsi="宋体" w:eastAsia="宋体" w:cs="宋体"/>
          <w:color w:val="auto"/>
          <w:sz w:val="36"/>
          <w:szCs w:val="36"/>
          <w:highlight w:val="none"/>
          <w:lang w:val="en-US" w:eastAsia="zh-CN" w:bidi="ar-SA"/>
        </w:rPr>
      </w:pPr>
      <w:r>
        <w:rPr>
          <w:rFonts w:hint="eastAsia" w:ascii="宋体" w:hAnsi="宋体" w:eastAsia="宋体" w:cs="宋体"/>
          <w:color w:val="auto"/>
          <w:sz w:val="36"/>
          <w:szCs w:val="36"/>
          <w:highlight w:val="none"/>
          <w:lang w:val="en-US" w:eastAsia="zh-CN" w:bidi="ar-SA"/>
        </w:rPr>
        <w:t>招标代理机构：河南省机电设备国际招标有限公司</w:t>
      </w:r>
    </w:p>
    <w:p>
      <w:pPr>
        <w:tabs>
          <w:tab w:val="left" w:pos="2593"/>
        </w:tabs>
        <w:spacing w:before="1" w:line="276" w:lineRule="auto"/>
        <w:jc w:val="center"/>
        <w:rPr>
          <w:rFonts w:hint="eastAsia" w:ascii="宋体" w:hAnsi="宋体" w:eastAsia="宋体" w:cs="宋体"/>
          <w:color w:val="auto"/>
          <w:sz w:val="36"/>
          <w:szCs w:val="36"/>
          <w:highlight w:val="none"/>
          <w:lang w:val="en-US" w:eastAsia="zh-CN" w:bidi="ar-SA"/>
        </w:rPr>
      </w:pPr>
    </w:p>
    <w:p>
      <w:pPr>
        <w:tabs>
          <w:tab w:val="left" w:pos="2593"/>
        </w:tabs>
        <w:spacing w:before="1"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36"/>
          <w:szCs w:val="36"/>
          <w:highlight w:val="none"/>
          <w:lang w:val="en-US" w:eastAsia="zh-CN" w:bidi="ar-SA"/>
        </w:rPr>
        <w:t>二〇二三年</w:t>
      </w:r>
      <w:r>
        <w:rPr>
          <w:rFonts w:hint="eastAsia" w:cs="宋体"/>
          <w:color w:val="auto"/>
          <w:sz w:val="36"/>
          <w:szCs w:val="36"/>
          <w:highlight w:val="none"/>
          <w:lang w:val="en-US" w:eastAsia="zh-CN" w:bidi="ar-SA"/>
        </w:rPr>
        <w:t>十</w:t>
      </w:r>
      <w:r>
        <w:rPr>
          <w:rFonts w:hint="eastAsia" w:ascii="宋体" w:hAnsi="宋体" w:eastAsia="宋体" w:cs="宋体"/>
          <w:color w:val="auto"/>
          <w:sz w:val="36"/>
          <w:szCs w:val="36"/>
          <w:highlight w:val="none"/>
          <w:lang w:val="en-US" w:eastAsia="zh-CN" w:bidi="ar-SA"/>
        </w:rPr>
        <w:t>月</w:t>
      </w:r>
    </w:p>
    <w:p>
      <w:pPr>
        <w:spacing w:line="276" w:lineRule="auto"/>
        <w:jc w:val="center"/>
        <w:rPr>
          <w:rFonts w:hint="eastAsia" w:ascii="宋体" w:hAnsi="宋体" w:eastAsia="宋体" w:cs="宋体"/>
          <w:color w:val="auto"/>
          <w:sz w:val="24"/>
          <w:szCs w:val="24"/>
          <w:highlight w:val="none"/>
          <w:lang w:eastAsia="zh-CN"/>
        </w:rPr>
        <w:sectPr>
          <w:type w:val="nextColumn"/>
          <w:pgSz w:w="11907" w:h="16840"/>
          <w:pgMar w:top="1500" w:right="1720" w:bottom="280" w:left="1720" w:header="720" w:footer="720" w:gutter="0"/>
          <w:cols w:space="720" w:num="1"/>
        </w:sectPr>
      </w:pPr>
    </w:p>
    <w:p>
      <w:pPr>
        <w:spacing w:line="360" w:lineRule="auto"/>
        <w:ind w:left="102" w:right="102"/>
        <w:jc w:val="center"/>
        <w:rPr>
          <w:rFonts w:hint="eastAsia" w:ascii="宋体" w:hAnsi="宋体" w:eastAsia="宋体" w:cs="宋体"/>
          <w:b/>
          <w:bCs/>
          <w:color w:val="auto"/>
          <w:sz w:val="24"/>
          <w:szCs w:val="24"/>
          <w:highlight w:val="none"/>
          <w:lang w:eastAsia="zh-CN"/>
        </w:rPr>
      </w:pPr>
      <w:bookmarkStart w:id="0" w:name="_Toc26400"/>
      <w:bookmarkStart w:id="1" w:name="_Toc28331"/>
      <w:r>
        <w:rPr>
          <w:rFonts w:hint="eastAsia" w:ascii="宋体" w:hAnsi="宋体" w:eastAsia="宋体" w:cs="宋体"/>
          <w:b/>
          <w:bCs/>
          <w:color w:val="auto"/>
          <w:sz w:val="24"/>
          <w:szCs w:val="24"/>
          <w:highlight w:val="none"/>
          <w:lang w:eastAsia="zh-CN"/>
        </w:rPr>
        <w:t>目</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eastAsia="zh-CN"/>
        </w:rPr>
        <w:t>录</w:t>
      </w:r>
      <w:bookmarkEnd w:id="0"/>
      <w:bookmarkEnd w:id="1"/>
    </w:p>
    <w:p>
      <w:pPr>
        <w:pStyle w:val="24"/>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TOC \o "1-2" \h \z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_Toc6418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kern w:val="44"/>
          <w:sz w:val="24"/>
          <w:szCs w:val="24"/>
          <w:highlight w:val="none"/>
          <w:lang w:eastAsia="zh-CN"/>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4"/>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_Toc10737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_Toc3504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_Toc6606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1. 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_Toc6606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_Toc8207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2.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_Toc23405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3. 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_Toc23405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_Toc5411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4. 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_Toc25087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5. 开标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_Toc25087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_Toc5410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6. 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_Toc22409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7.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_Toc22409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_Toc16916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8. 重新招标和不再招标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_Toc16916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_Toc23967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9. 纪律和监督</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_Toc23967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_Toc26667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10. 需要补充的其他内容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4"/>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_Toc9457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第三章 评标办法（综合评标法）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_Toc9457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_Toc15759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评标办法前附表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_Toc6746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_Toc5560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2. 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_Toc5560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_Toc7505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3. 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_Toc7505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4"/>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_Toc19612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第四章 拟签订的合同条款及格式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_Toc19612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4"/>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_Toc4840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第五章 技术标准及要求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_Toc4145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项目概况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_Toc4145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_Toc445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 xml:space="preserve">2. </w:t>
      </w:r>
      <w:r>
        <w:rPr>
          <w:rFonts w:hint="eastAsia" w:ascii="宋体" w:hAnsi="宋体" w:eastAsia="宋体" w:cs="宋体"/>
          <w:color w:val="auto"/>
          <w:sz w:val="24"/>
          <w:szCs w:val="24"/>
          <w:highlight w:val="none"/>
          <w:lang w:val="en-US" w:eastAsia="zh-CN"/>
        </w:rPr>
        <w:t>招标范围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_Toc8979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3. 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_Toc1679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kern w:val="0"/>
          <w:sz w:val="24"/>
          <w:szCs w:val="24"/>
          <w:highlight w:val="none"/>
          <w:lang w:val="en-US" w:eastAsia="en-US"/>
        </w:rPr>
        <w:t>4. 质量要求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_Toc18770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kern w:val="0"/>
          <w:sz w:val="24"/>
          <w:szCs w:val="24"/>
          <w:highlight w:val="none"/>
          <w:lang w:val="en-US" w:eastAsia="en-US"/>
        </w:rPr>
        <w:t>5. 安全文明施工及职业健康管理要求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_Toc18770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_Toc11857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6. 环境保护要求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4"/>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_Toc22705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第六章 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4"/>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_Toc27114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kern w:val="44"/>
          <w:sz w:val="24"/>
          <w:szCs w:val="24"/>
          <w:highlight w:val="none"/>
          <w:lang w:eastAsia="zh-CN"/>
        </w:rPr>
        <w:t>第</w:t>
      </w:r>
      <w:r>
        <w:rPr>
          <w:rFonts w:hint="eastAsia" w:ascii="宋体" w:hAnsi="宋体" w:eastAsia="宋体" w:cs="宋体"/>
          <w:color w:val="auto"/>
          <w:kern w:val="44"/>
          <w:sz w:val="24"/>
          <w:szCs w:val="24"/>
          <w:highlight w:val="none"/>
          <w:lang w:val="en-US" w:eastAsia="zh-CN"/>
        </w:rPr>
        <w:t>七</w:t>
      </w:r>
      <w:r>
        <w:rPr>
          <w:rFonts w:hint="eastAsia" w:ascii="宋体" w:hAnsi="宋体" w:eastAsia="宋体" w:cs="宋体"/>
          <w:color w:val="auto"/>
          <w:kern w:val="44"/>
          <w:sz w:val="24"/>
          <w:szCs w:val="24"/>
          <w:highlight w:val="none"/>
          <w:lang w:eastAsia="zh-CN"/>
        </w:rPr>
        <w:t>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_Toc28638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一、投标函及投标函附录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_Toc28638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_Toc12564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二、法定代表人身份证明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_Toc13420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三、授权委托书（无委托代理人可不提供）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_Toc21738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四、投标保证金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_Toc13714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五、资格审查资料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_Toc18466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sz w:val="24"/>
          <w:szCs w:val="24"/>
          <w:highlight w:val="none"/>
          <w:lang w:eastAsia="zh-CN"/>
        </w:rPr>
        <w:t>六、商务技术差异表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_Toc18466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_Toc16900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七、已标价工程量清单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_Toc16900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_Toc4634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八、施工组织设计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_Toc12632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九、廉洁承诺书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9"/>
        <w:tabs>
          <w:tab w:val="right" w:leader="dot" w:pos="922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_Toc26075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十、 其他材料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_Toc26075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spacing w:line="33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p>
      <w:pPr>
        <w:adjustRightInd w:val="0"/>
        <w:snapToGrid w:val="0"/>
        <w:spacing w:line="360" w:lineRule="auto"/>
        <w:jc w:val="both"/>
        <w:rPr>
          <w:rFonts w:hint="eastAsia" w:ascii="宋体" w:hAnsi="宋体" w:eastAsia="宋体" w:cs="宋体"/>
          <w:color w:val="auto"/>
          <w:sz w:val="24"/>
          <w:szCs w:val="24"/>
          <w:highlight w:val="none"/>
          <w:lang w:eastAsia="zh-CN"/>
        </w:rPr>
      </w:pPr>
    </w:p>
    <w:p>
      <w:pPr>
        <w:pStyle w:val="3"/>
        <w:rPr>
          <w:rFonts w:hint="eastAsia" w:ascii="宋体" w:hAnsi="宋体" w:eastAsia="宋体" w:cs="宋体"/>
          <w:color w:val="auto"/>
          <w:sz w:val="24"/>
          <w:szCs w:val="24"/>
          <w:highlight w:val="none"/>
          <w:lang w:eastAsia="zh-CN"/>
        </w:rPr>
        <w:sectPr>
          <w:footerReference r:id="rId5" w:type="default"/>
          <w:pgSz w:w="11907" w:h="16840"/>
          <w:pgMar w:top="1440" w:right="1100" w:bottom="1060" w:left="1580" w:header="0" w:footer="861" w:gutter="0"/>
          <w:cols w:space="720" w:num="1"/>
        </w:sectPr>
      </w:pPr>
      <w:bookmarkStart w:id="2" w:name="_Toc28032_WPSOffice_Level1"/>
      <w:bookmarkStart w:id="3" w:name="_Toc28474"/>
      <w:bookmarkStart w:id="4" w:name="_Toc31782"/>
      <w:bookmarkStart w:id="5" w:name="_Toc11929_WPSOffice_Level1"/>
    </w:p>
    <w:p>
      <w:pPr>
        <w:pStyle w:val="3"/>
        <w:keepNext/>
        <w:keepLines/>
        <w:spacing w:before="120" w:after="120" w:line="400" w:lineRule="exact"/>
        <w:rPr>
          <w:rFonts w:hint="eastAsia" w:ascii="宋体" w:hAnsi="宋体" w:eastAsia="宋体" w:cs="宋体"/>
          <w:color w:val="auto"/>
          <w:kern w:val="44"/>
          <w:sz w:val="24"/>
          <w:szCs w:val="24"/>
          <w:highlight w:val="none"/>
          <w:lang w:eastAsia="zh-CN"/>
        </w:rPr>
      </w:pPr>
      <w:bookmarkStart w:id="6" w:name="_Toc6416002"/>
      <w:bookmarkStart w:id="7" w:name="_Toc6418"/>
      <w:r>
        <w:rPr>
          <w:rFonts w:hint="eastAsia" w:ascii="宋体" w:hAnsi="宋体" w:eastAsia="宋体" w:cs="宋体"/>
          <w:color w:val="auto"/>
          <w:kern w:val="44"/>
          <w:sz w:val="24"/>
          <w:szCs w:val="24"/>
          <w:highlight w:val="none"/>
          <w:lang w:eastAsia="zh-CN"/>
        </w:rPr>
        <w:t>第一章 招标公告</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lang w:eastAsia="zh-CN"/>
        </w:rPr>
      </w:pPr>
      <w:bookmarkStart w:id="8" w:name="_Toc6416003"/>
      <w:bookmarkEnd w:id="8"/>
      <w:r>
        <w:rPr>
          <w:rFonts w:hint="eastAsia" w:cs="宋体"/>
          <w:color w:val="auto"/>
          <w:sz w:val="24"/>
          <w:szCs w:val="24"/>
          <w:highlight w:val="none"/>
          <w:lang w:eastAsia="zh-CN"/>
        </w:rPr>
        <w:t>河南沃克曼建设工程有限公司通辽市生活垃圾焚烧发电项目土建尾项工程施工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公开招标公告</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1.招标条件</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河南沃克曼建设工程有限公司通辽市生活垃圾焚烧发电项目土建尾项工程施工</w:t>
      </w:r>
      <w:r>
        <w:rPr>
          <w:rFonts w:hint="eastAsia" w:ascii="宋体" w:hAnsi="宋体" w:eastAsia="宋体" w:cs="宋体"/>
          <w:color w:val="auto"/>
          <w:sz w:val="24"/>
          <w:szCs w:val="24"/>
          <w:highlight w:val="none"/>
          <w:lang w:eastAsia="zh-CN"/>
        </w:rPr>
        <w:t>已具备招标条件，现进行公开招标。招标人为河南沃克曼建设工程有限公司，招标代理机构为河南省机电设备国际招标有限公司，欢迎有意向且具备资格条件的单位参与投标。</w:t>
      </w:r>
    </w:p>
    <w:p>
      <w:pPr>
        <w:pStyle w:val="4"/>
        <w:rPr>
          <w:rFonts w:hint="eastAsia" w:ascii="宋体" w:hAnsi="宋体" w:eastAsia="宋体" w:cs="宋体"/>
          <w:color w:val="auto"/>
          <w:sz w:val="24"/>
          <w:szCs w:val="24"/>
          <w:highlight w:val="none"/>
        </w:rPr>
      </w:pPr>
      <w:bookmarkStart w:id="9" w:name="_Toc31326"/>
      <w:bookmarkEnd w:id="9"/>
      <w:bookmarkStart w:id="10" w:name="_Toc28972_WPSOffice_Level2"/>
      <w:bookmarkEnd w:id="10"/>
      <w:bookmarkStart w:id="11" w:name="_Toc6463_WPSOffice_Level2"/>
      <w:bookmarkEnd w:id="11"/>
      <w:bookmarkStart w:id="12" w:name="_Toc29641"/>
      <w:bookmarkEnd w:id="12"/>
      <w:bookmarkStart w:id="13" w:name="_Toc15346"/>
      <w:bookmarkEnd w:id="13"/>
      <w:bookmarkStart w:id="14" w:name="_Toc6856"/>
      <w:bookmarkEnd w:id="14"/>
      <w:bookmarkStart w:id="15" w:name="_Toc17810_WPSOffice_Level2"/>
      <w:bookmarkStart w:id="16" w:name="_Toc29341_WPSOffice_Level2"/>
      <w:r>
        <w:rPr>
          <w:rFonts w:hint="eastAsia" w:ascii="宋体" w:hAnsi="宋体" w:eastAsia="宋体" w:cs="宋体"/>
          <w:color w:val="auto"/>
          <w:sz w:val="24"/>
          <w:szCs w:val="24"/>
          <w:highlight w:val="none"/>
        </w:rPr>
        <w:t>2.</w:t>
      </w:r>
      <w:bookmarkEnd w:id="15"/>
      <w:r>
        <w:rPr>
          <w:rFonts w:hint="eastAsia" w:ascii="宋体" w:hAnsi="宋体" w:eastAsia="宋体" w:cs="宋体"/>
          <w:color w:val="auto"/>
          <w:sz w:val="24"/>
          <w:szCs w:val="24"/>
          <w:highlight w:val="none"/>
        </w:rPr>
        <w:t>项目概况与招标范围</w:t>
      </w:r>
    </w:p>
    <w:p>
      <w:pPr>
        <w:spacing w:line="360" w:lineRule="auto"/>
        <w:ind w:firstLine="480"/>
        <w:jc w:val="both"/>
        <w:rPr>
          <w:rFonts w:hint="default"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2.1项目名称：</w:t>
      </w:r>
      <w:r>
        <w:rPr>
          <w:rFonts w:hint="eastAsia" w:cs="宋体"/>
          <w:color w:val="auto"/>
          <w:sz w:val="24"/>
          <w:szCs w:val="24"/>
          <w:highlight w:val="none"/>
          <w:lang w:eastAsia="zh-CN"/>
        </w:rPr>
        <w:t>河南沃克曼建设工程有限公司通辽市生活垃圾焚烧发电项目土建尾项工程施工</w:t>
      </w:r>
      <w:r>
        <w:rPr>
          <w:rFonts w:hint="eastAsia" w:cs="宋体"/>
          <w:color w:val="auto"/>
          <w:sz w:val="24"/>
          <w:szCs w:val="24"/>
          <w:highlight w:val="none"/>
          <w:lang w:val="en-US" w:eastAsia="zh-CN"/>
        </w:rPr>
        <w:t>公开招标</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2.2项目编号：M4101000065000677574</w:t>
      </w:r>
    </w:p>
    <w:p>
      <w:pPr>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2.3项目建设地点：</w:t>
      </w:r>
      <w:r>
        <w:rPr>
          <w:rFonts w:hint="eastAsia" w:cs="宋体"/>
          <w:color w:val="auto"/>
          <w:sz w:val="24"/>
          <w:szCs w:val="24"/>
          <w:highlight w:val="none"/>
          <w:lang w:val="en-US" w:eastAsia="zh-CN"/>
        </w:rPr>
        <w:t>内蒙古东</w:t>
      </w:r>
      <w:r>
        <w:rPr>
          <w:rFonts w:hint="eastAsia" w:ascii="宋体" w:hAnsi="宋体" w:eastAsia="宋体" w:cs="宋体"/>
          <w:color w:val="auto"/>
          <w:sz w:val="24"/>
          <w:szCs w:val="24"/>
          <w:highlight w:val="none"/>
          <w:lang w:val="en-US" w:eastAsia="zh-CN"/>
        </w:rPr>
        <w:t>部。</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招标范围：河南沃克曼建设工程有限公司通辽市生活垃圾焚烧发电项目土建尾项工程施</w:t>
      </w:r>
      <w:r>
        <w:rPr>
          <w:rFonts w:hint="eastAsia" w:cs="宋体"/>
          <w:color w:val="auto"/>
          <w:sz w:val="24"/>
          <w:szCs w:val="24"/>
          <w:highlight w:val="none"/>
          <w:lang w:val="en-US" w:eastAsia="zh-CN"/>
        </w:rPr>
        <w:t>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最终施工范围以现场最终图纸及清单为准。</w:t>
      </w:r>
    </w:p>
    <w:p>
      <w:pPr>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具体详见第五章技术标准及要求、附件：图纸、附件：工程量清单。</w:t>
      </w:r>
    </w:p>
    <w:p>
      <w:pPr>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符合现行国家有关工程施工验收规范和标准的要求</w:t>
      </w:r>
      <w:r>
        <w:rPr>
          <w:rFonts w:hint="eastAsia" w:ascii="宋体" w:hAnsi="宋体" w:eastAsia="宋体" w:cs="宋体"/>
          <w:color w:val="auto"/>
          <w:sz w:val="24"/>
          <w:szCs w:val="24"/>
          <w:highlight w:val="none"/>
          <w:lang w:val="en-US" w:eastAsia="zh-CN"/>
        </w:rPr>
        <w:t>.</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工期要求：</w:t>
      </w:r>
      <w:r>
        <w:rPr>
          <w:rFonts w:hint="eastAsia" w:ascii="宋体" w:hAnsi="宋体" w:eastAsia="宋体" w:cs="宋体"/>
          <w:color w:val="auto"/>
          <w:sz w:val="24"/>
          <w:szCs w:val="24"/>
          <w:highlight w:val="none"/>
          <w:lang w:val="en-US" w:eastAsia="zh-CN"/>
        </w:rPr>
        <w:t>30日历天，实际开工日期以发包人书面通知的开工日期为准，实际竣工日期以工程竣工验收相关证书或验收报告中写明的日期为准。</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16"/>
      <w:r>
        <w:rPr>
          <w:rFonts w:hint="eastAsia" w:ascii="宋体" w:hAnsi="宋体" w:eastAsia="宋体" w:cs="宋体"/>
          <w:color w:val="auto"/>
          <w:sz w:val="24"/>
          <w:szCs w:val="24"/>
          <w:highlight w:val="none"/>
        </w:rPr>
        <w:t>投标人资格要求</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3.1投标人须具具有中华人民共和国独立企业法人资格，具有有效的企业营业执照。</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3.2资质要求</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人具有市政公用工程施工总承包</w:t>
      </w:r>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级及以上资质，具有有效的安全生产许可证。</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3.3业绩要求</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年1月1日以来（以合同签订时间为准），企业承揽过至少1项单项合同金额不少于</w:t>
      </w:r>
      <w:r>
        <w:rPr>
          <w:rFonts w:hint="eastAsia"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万元市政工程</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或施工劳务业绩。（投标文件中需附合同复印件等相关证明材料）</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3.4投标人项目经理要求</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拟派项目经理须具有本单位注册的市政公用工程专业</w:t>
      </w:r>
      <w:r>
        <w:rPr>
          <w:rFonts w:hint="eastAsia" w:cs="宋体"/>
          <w:color w:val="auto"/>
          <w:sz w:val="24"/>
          <w:szCs w:val="24"/>
          <w:highlight w:val="none"/>
          <w:lang w:val="en-US" w:eastAsia="zh-CN"/>
        </w:rPr>
        <w:t>贰</w:t>
      </w:r>
      <w:r>
        <w:rPr>
          <w:rFonts w:hint="eastAsia" w:ascii="宋体" w:hAnsi="宋体" w:eastAsia="宋体" w:cs="宋体"/>
          <w:color w:val="auto"/>
          <w:sz w:val="24"/>
          <w:szCs w:val="24"/>
          <w:highlight w:val="none"/>
          <w:lang w:eastAsia="zh-CN"/>
        </w:rPr>
        <w:t>级及以上建造师注册证书（不含临时，不在有效期内的需提供继续教育合格证书），并具有安全生产考核合格证。</w:t>
      </w:r>
    </w:p>
    <w:p>
      <w:pPr>
        <w:spacing w:line="360" w:lineRule="auto"/>
        <w:ind w:firstLine="480"/>
        <w:rPr>
          <w:rFonts w:hint="eastAsia"/>
          <w:color w:val="auto"/>
          <w:sz w:val="24"/>
          <w:szCs w:val="24"/>
          <w:highlight w:val="none"/>
          <w:lang w:eastAsia="zh-CN"/>
        </w:rPr>
      </w:pPr>
      <w:r>
        <w:rPr>
          <w:rFonts w:hint="eastAsia"/>
          <w:color w:val="auto"/>
          <w:sz w:val="24"/>
          <w:szCs w:val="24"/>
          <w:highlight w:val="none"/>
          <w:lang w:eastAsia="zh-CN"/>
        </w:rPr>
        <w:t>拟派项目经理20</w:t>
      </w:r>
      <w:r>
        <w:rPr>
          <w:rFonts w:hint="eastAsia"/>
          <w:color w:val="auto"/>
          <w:sz w:val="24"/>
          <w:szCs w:val="24"/>
          <w:highlight w:val="none"/>
          <w:lang w:val="en-US" w:eastAsia="zh-CN"/>
        </w:rPr>
        <w:t>20</w:t>
      </w:r>
      <w:r>
        <w:rPr>
          <w:rFonts w:hint="eastAsia"/>
          <w:color w:val="auto"/>
          <w:sz w:val="24"/>
          <w:szCs w:val="24"/>
          <w:highlight w:val="none"/>
          <w:lang w:eastAsia="zh-CN"/>
        </w:rPr>
        <w:t>年1月1日以来（以合同签订时间为准），应至少具有1个合同金额在</w:t>
      </w:r>
      <w:r>
        <w:rPr>
          <w:rFonts w:hint="eastAsia"/>
          <w:color w:val="auto"/>
          <w:sz w:val="24"/>
          <w:szCs w:val="24"/>
          <w:highlight w:val="none"/>
          <w:lang w:val="en-US" w:eastAsia="zh-CN"/>
        </w:rPr>
        <w:t>5</w:t>
      </w:r>
      <w:r>
        <w:rPr>
          <w:rFonts w:hint="eastAsia"/>
          <w:color w:val="auto"/>
          <w:sz w:val="24"/>
          <w:szCs w:val="24"/>
          <w:highlight w:val="none"/>
          <w:lang w:eastAsia="zh-CN"/>
        </w:rPr>
        <w:t>00万及以上的市政工程</w:t>
      </w:r>
      <w:r>
        <w:rPr>
          <w:rFonts w:hint="eastAsia"/>
          <w:color w:val="auto"/>
          <w:sz w:val="24"/>
          <w:szCs w:val="24"/>
          <w:highlight w:val="none"/>
          <w:lang w:val="en-US" w:eastAsia="zh-CN"/>
        </w:rPr>
        <w:t>项目</w:t>
      </w:r>
      <w:r>
        <w:rPr>
          <w:rFonts w:hint="eastAsia"/>
          <w:color w:val="auto"/>
          <w:sz w:val="24"/>
          <w:szCs w:val="24"/>
          <w:highlight w:val="none"/>
          <w:lang w:eastAsia="zh-CN"/>
        </w:rPr>
        <w:t>施工业绩或</w:t>
      </w:r>
      <w:r>
        <w:rPr>
          <w:rFonts w:hint="eastAsia"/>
          <w:color w:val="auto"/>
          <w:sz w:val="24"/>
          <w:szCs w:val="24"/>
          <w:highlight w:val="none"/>
          <w:lang w:val="en-US" w:eastAsia="zh-CN"/>
        </w:rPr>
        <w:t>施工</w:t>
      </w:r>
      <w:r>
        <w:rPr>
          <w:rFonts w:hint="eastAsia"/>
          <w:color w:val="auto"/>
          <w:sz w:val="24"/>
          <w:szCs w:val="24"/>
          <w:highlight w:val="none"/>
          <w:lang w:eastAsia="zh-CN"/>
        </w:rPr>
        <w:t>劳务业绩。</w:t>
      </w:r>
    </w:p>
    <w:p>
      <w:pPr>
        <w:spacing w:line="360" w:lineRule="auto"/>
        <w:ind w:firstLine="480"/>
        <w:rPr>
          <w:color w:val="auto"/>
          <w:highlight w:val="none"/>
          <w:lang w:eastAsia="zh-CN"/>
        </w:rPr>
      </w:pPr>
      <w:r>
        <w:rPr>
          <w:rFonts w:hint="eastAsia"/>
          <w:b/>
          <w:bCs/>
          <w:color w:val="auto"/>
          <w:sz w:val="24"/>
          <w:szCs w:val="24"/>
          <w:highlight w:val="none"/>
          <w:lang w:eastAsia="zh-CN"/>
        </w:rPr>
        <w:t>（投标文件中需附注明</w:t>
      </w:r>
      <w:r>
        <w:rPr>
          <w:rFonts w:hint="eastAsia"/>
          <w:b/>
          <w:bCs/>
          <w:color w:val="auto"/>
          <w:sz w:val="24"/>
          <w:szCs w:val="24"/>
          <w:highlight w:val="none"/>
          <w:lang w:val="en-US" w:eastAsia="zh-CN"/>
        </w:rPr>
        <w:t>拟派</w:t>
      </w:r>
      <w:r>
        <w:rPr>
          <w:rFonts w:hint="eastAsia"/>
          <w:b/>
          <w:bCs/>
          <w:color w:val="auto"/>
          <w:sz w:val="24"/>
          <w:szCs w:val="24"/>
          <w:highlight w:val="none"/>
          <w:lang w:eastAsia="zh-CN"/>
        </w:rPr>
        <w:t>项目经理的施工合同或业主方开具的项目经理业绩证明资料，企业业绩与项目经理业绩可以为同一业绩）</w:t>
      </w:r>
    </w:p>
    <w:p>
      <w:pPr>
        <w:spacing w:line="360" w:lineRule="auto"/>
        <w:ind w:firstLine="480"/>
        <w:jc w:val="both"/>
        <w:rPr>
          <w:rFonts w:hint="eastAsia"/>
          <w:color w:val="auto"/>
          <w:highlight w:val="none"/>
          <w:lang w:eastAsia="zh-CN"/>
        </w:rPr>
      </w:pPr>
      <w:r>
        <w:rPr>
          <w:rFonts w:hint="eastAsia" w:cs="宋体"/>
          <w:color w:val="auto"/>
          <w:sz w:val="24"/>
          <w:szCs w:val="24"/>
          <w:highlight w:val="none"/>
          <w:lang w:val="en-US" w:eastAsia="zh-CN"/>
        </w:rPr>
        <w:t>拟派</w:t>
      </w:r>
      <w:r>
        <w:rPr>
          <w:rFonts w:hint="eastAsia" w:ascii="宋体" w:hAnsi="宋体" w:eastAsia="宋体" w:cs="宋体"/>
          <w:color w:val="auto"/>
          <w:sz w:val="24"/>
          <w:szCs w:val="24"/>
          <w:highlight w:val="none"/>
          <w:lang w:eastAsia="zh-CN"/>
        </w:rPr>
        <w:t>项目经理须为</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在职员工，</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出具</w:t>
      </w:r>
      <w:r>
        <w:rPr>
          <w:rFonts w:hint="eastAsia" w:cs="宋体"/>
          <w:color w:val="auto"/>
          <w:sz w:val="24"/>
          <w:szCs w:val="24"/>
          <w:highlight w:val="none"/>
          <w:lang w:eastAsia="zh-CN"/>
        </w:rPr>
        <w:t>2022年1月以来</w:t>
      </w:r>
      <w:r>
        <w:rPr>
          <w:rFonts w:hint="eastAsia" w:ascii="宋体" w:hAnsi="宋体" w:eastAsia="宋体" w:cs="宋体"/>
          <w:color w:val="auto"/>
          <w:sz w:val="24"/>
          <w:szCs w:val="24"/>
          <w:highlight w:val="none"/>
          <w:lang w:eastAsia="zh-CN"/>
        </w:rPr>
        <w:t>近3个月社保缴纳证明（查询日期为发布公告之日后），</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eastAsia="zh-CN"/>
        </w:rPr>
        <w:t>现阶段没有担任任何正在施工和正在承接工程项目</w:t>
      </w:r>
      <w:r>
        <w:rPr>
          <w:rFonts w:hint="eastAsia" w:ascii="宋体" w:hAnsi="宋体" w:eastAsia="宋体" w:cs="宋体"/>
          <w:color w:val="auto"/>
          <w:sz w:val="24"/>
          <w:szCs w:val="24"/>
          <w:highlight w:val="none"/>
          <w:lang w:val="en-US" w:eastAsia="zh-CN"/>
        </w:rPr>
        <w:t>的项目经理</w:t>
      </w:r>
      <w:r>
        <w:rPr>
          <w:rFonts w:hint="eastAsia" w:ascii="宋体" w:hAnsi="宋体" w:eastAsia="宋体" w:cs="宋体"/>
          <w:color w:val="auto"/>
          <w:sz w:val="24"/>
          <w:szCs w:val="24"/>
          <w:highlight w:val="none"/>
          <w:lang w:eastAsia="zh-CN"/>
        </w:rPr>
        <w:t>（需出具无在建承诺）。</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3.5信誉要求：投标人信誉良好，未被列为失信被执行人（以招标人或招标代理机构 “信用中国”网站（www.creditchina.gov.cn）现场查询结果为准）。</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3.6本次招标不接受联合体投标。</w:t>
      </w:r>
    </w:p>
    <w:p>
      <w:pPr>
        <w:pStyle w:val="4"/>
        <w:rPr>
          <w:rFonts w:hint="eastAsia" w:ascii="宋体" w:hAnsi="宋体" w:eastAsia="宋体" w:cs="宋体"/>
          <w:color w:val="auto"/>
          <w:sz w:val="24"/>
          <w:szCs w:val="24"/>
          <w:highlight w:val="none"/>
        </w:rPr>
      </w:pPr>
      <w:bookmarkStart w:id="17" w:name="_Toc6416006"/>
      <w:bookmarkEnd w:id="17"/>
      <w:r>
        <w:rPr>
          <w:rFonts w:hint="eastAsia" w:ascii="宋体" w:hAnsi="宋体" w:eastAsia="宋体" w:cs="宋体"/>
          <w:color w:val="auto"/>
          <w:sz w:val="24"/>
          <w:szCs w:val="24"/>
          <w:highlight w:val="none"/>
        </w:rPr>
        <w:t>4.电子注册与报名</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4.1本项目通过中原招采网（http://www.zybtp.com）进行全电子化招投标。</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4.2有意参加投标并符合条件的供应商，需先登录中原招采网进行电子注册、经验证合格并办理CA数字认证证书和电子盖章手续后，方能参与本次投标活动。</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4.3满足本招标公告第3条款投标人资格要求的投标人，请于202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日17:</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0（北京时间）前（法定公休日、法定节假日除外）登录中原招采网进行电子报名，并上传第3条投标人资格要求相关材料。</w:t>
      </w:r>
    </w:p>
    <w:p>
      <w:pPr>
        <w:spacing w:line="360" w:lineRule="auto"/>
        <w:ind w:firstLine="48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注：招标代理机构对报名资料的审验并不作为投标单位资格条件的最终认定，投标单位应对资料的真实性、合规性负责；评标开始后，仍将由评标委员会对投标单位的资格证明材料进行资格审核，</w:t>
      </w:r>
    </w:p>
    <w:p>
      <w:pPr>
        <w:spacing w:line="360" w:lineRule="auto"/>
        <w:ind w:firstLine="480"/>
        <w:jc w:val="both"/>
        <w:rPr>
          <w:rFonts w:hint="eastAsia"/>
          <w:lang w:eastAsia="zh-CN"/>
        </w:rPr>
      </w:pPr>
      <w:r>
        <w:rPr>
          <w:rFonts w:hint="eastAsia" w:ascii="宋体" w:hAnsi="宋体" w:eastAsia="宋体" w:cs="宋体"/>
          <w:b/>
          <w:bCs/>
          <w:color w:val="auto"/>
          <w:sz w:val="24"/>
          <w:szCs w:val="24"/>
          <w:highlight w:val="none"/>
          <w:lang w:eastAsia="zh-CN"/>
        </w:rPr>
        <w:t>本项目通过中原招标采购交易平台系统对</w:t>
      </w:r>
      <w:r>
        <w:rPr>
          <w:rFonts w:hint="eastAsia"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人报名相关信息（即IP地址、缴费人信息、报名联系人信息等）进行自动对比，任一上述信息出现一致情形，相关</w:t>
      </w:r>
      <w:r>
        <w:rPr>
          <w:rFonts w:hint="eastAsia"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人的</w:t>
      </w:r>
      <w:r>
        <w:rPr>
          <w:rFonts w:hint="eastAsia"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文件均按无效投标处理。不符合项目资格条件的投标单位的投标将被拒绝。</w:t>
      </w:r>
    </w:p>
    <w:p>
      <w:pPr>
        <w:pStyle w:val="4"/>
        <w:rPr>
          <w:rFonts w:hint="eastAsia" w:ascii="宋体" w:hAnsi="宋体" w:eastAsia="宋体" w:cs="宋体"/>
          <w:color w:val="auto"/>
          <w:sz w:val="24"/>
          <w:szCs w:val="24"/>
          <w:highlight w:val="none"/>
        </w:rPr>
      </w:pPr>
      <w:bookmarkStart w:id="18" w:name="_Toc6416007"/>
      <w:bookmarkEnd w:id="18"/>
      <w:r>
        <w:rPr>
          <w:rFonts w:hint="eastAsia" w:ascii="宋体" w:hAnsi="宋体" w:eastAsia="宋体" w:cs="宋体"/>
          <w:color w:val="auto"/>
          <w:sz w:val="24"/>
          <w:szCs w:val="24"/>
          <w:highlight w:val="none"/>
        </w:rPr>
        <w:t>5.招标文件的获取</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5.1招标文件售价：</w:t>
      </w:r>
      <w:r>
        <w:rPr>
          <w:rFonts w:hint="eastAsia" w:cs="宋体"/>
          <w:color w:val="auto"/>
          <w:sz w:val="24"/>
          <w:szCs w:val="24"/>
          <w:highlight w:val="none"/>
          <w:lang w:val="en-US" w:eastAsia="zh-CN"/>
        </w:rPr>
        <w:t>500</w:t>
      </w:r>
      <w:r>
        <w:rPr>
          <w:rFonts w:hint="eastAsia" w:ascii="宋体" w:hAnsi="宋体" w:eastAsia="宋体" w:cs="宋体"/>
          <w:color w:val="auto"/>
          <w:sz w:val="24"/>
          <w:szCs w:val="24"/>
          <w:highlight w:val="none"/>
          <w:lang w:eastAsia="zh-CN"/>
        </w:rPr>
        <w:t>元，售后不退。</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付款方式：电汇(标书费对公转账至此账户的请将转账截图发送至邮箱zhaobiao108@126.com）</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单位名称：河南省机电设备国际招标有限公司</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开户银行：农行郑州行政支行</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银行账号：16049101040013160</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5.2报名通过的投标人使用CA数字证书登录中原招采网平台，下载电子招标文件。</w:t>
      </w:r>
    </w:p>
    <w:p>
      <w:pPr>
        <w:pStyle w:val="2"/>
        <w:ind w:firstLine="480" w:firstLineChars="200"/>
        <w:jc w:val="both"/>
        <w:rPr>
          <w:rFonts w:hint="eastAsia" w:ascii="宋体" w:hAnsi="宋体" w:eastAsia="宋体" w:cs="宋体"/>
          <w:b w:val="0"/>
          <w:color w:val="auto"/>
          <w:sz w:val="24"/>
          <w:szCs w:val="24"/>
          <w:highlight w:val="none"/>
          <w:lang w:val="en-US" w:eastAsia="zh-CN" w:bidi="ar-SA"/>
        </w:rPr>
      </w:pPr>
      <w:r>
        <w:rPr>
          <w:rFonts w:hint="eastAsia" w:cs="宋体"/>
          <w:b w:val="0"/>
          <w:color w:val="auto"/>
          <w:sz w:val="24"/>
          <w:szCs w:val="24"/>
          <w:highlight w:val="none"/>
          <w:lang w:val="en-US" w:eastAsia="zh-CN" w:bidi="ar-SA"/>
        </w:rPr>
        <w:t>5.3</w:t>
      </w:r>
      <w:r>
        <w:rPr>
          <w:rFonts w:hint="eastAsia" w:ascii="宋体" w:hAnsi="宋体" w:eastAsia="宋体" w:cs="宋体"/>
          <w:b w:val="0"/>
          <w:color w:val="auto"/>
          <w:sz w:val="24"/>
          <w:szCs w:val="24"/>
          <w:highlight w:val="none"/>
          <w:lang w:val="en-US" w:eastAsia="zh-CN" w:bidi="ar-SA"/>
        </w:rPr>
        <w:t>平台使用方法及操作指引见《中原招标采购交易平台投标人操作手册》（http://www.zybtp.com/gys/57563.jhtml）。平台使用费收费标准见中原招标采购交易平台办事指南。其他疑问请联系平台客服，联系电话：400-6703-999。</w:t>
      </w:r>
    </w:p>
    <w:p>
      <w:pPr>
        <w:pStyle w:val="4"/>
        <w:rPr>
          <w:rFonts w:hint="eastAsia" w:ascii="宋体" w:hAnsi="宋体" w:eastAsia="宋体" w:cs="宋体"/>
          <w:color w:val="auto"/>
          <w:sz w:val="24"/>
          <w:szCs w:val="24"/>
          <w:highlight w:val="none"/>
        </w:rPr>
      </w:pPr>
      <w:bookmarkStart w:id="19" w:name="_Toc6416008"/>
      <w:bookmarkEnd w:id="19"/>
      <w:r>
        <w:rPr>
          <w:rFonts w:hint="eastAsia" w:ascii="宋体" w:hAnsi="宋体" w:eastAsia="宋体" w:cs="宋体"/>
          <w:color w:val="auto"/>
          <w:sz w:val="24"/>
          <w:szCs w:val="24"/>
          <w:highlight w:val="none"/>
        </w:rPr>
        <w:t>6.投标文件的递交</w:t>
      </w:r>
    </w:p>
    <w:p>
      <w:pPr>
        <w:spacing w:line="360" w:lineRule="auto"/>
        <w:ind w:firstLine="480"/>
        <w:jc w:val="both"/>
        <w:rPr>
          <w:rFonts w:hint="eastAsia" w:ascii="宋体" w:hAnsi="宋体" w:eastAsia="宋体" w:cs="宋体"/>
          <w:color w:val="auto"/>
          <w:sz w:val="24"/>
          <w:szCs w:val="24"/>
          <w:highlight w:val="none"/>
          <w:lang w:eastAsia="zh-CN"/>
        </w:rPr>
      </w:pPr>
      <w:bookmarkStart w:id="20" w:name="_Toc6416009"/>
      <w:bookmarkEnd w:id="20"/>
      <w:bookmarkStart w:id="21" w:name="_Toc530403838"/>
      <w:r>
        <w:rPr>
          <w:rFonts w:hint="eastAsia" w:ascii="宋体" w:hAnsi="宋体" w:eastAsia="宋体" w:cs="宋体"/>
          <w:color w:val="auto"/>
          <w:sz w:val="24"/>
          <w:szCs w:val="24"/>
          <w:highlight w:val="none"/>
          <w:lang w:eastAsia="zh-CN"/>
        </w:rPr>
        <w:t>6.1</w:t>
      </w:r>
      <w:bookmarkEnd w:id="21"/>
      <w:r>
        <w:rPr>
          <w:rFonts w:hint="eastAsia" w:ascii="宋体" w:hAnsi="宋体" w:eastAsia="宋体" w:cs="宋体"/>
          <w:color w:val="auto"/>
          <w:sz w:val="24"/>
          <w:szCs w:val="24"/>
          <w:highlight w:val="none"/>
          <w:lang w:eastAsia="zh-CN"/>
        </w:rPr>
        <w:t>本项目采用“远程不见面”开标方式，投标人无需到达开标现场参加开标会议，无需到达现场提交资料。</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6.2电子投标文件：投标人应当在投标截止时间前，登录中原招标采购交易平台（http://www.zybtp.com/），在线准时参加开标活动并进行文件解密等。</w:t>
      </w:r>
      <w:r>
        <w:rPr>
          <w:rFonts w:hint="eastAsia" w:ascii="宋体" w:hAnsi="宋体" w:eastAsia="宋体" w:cs="宋体"/>
          <w:color w:val="auto"/>
          <w:sz w:val="24"/>
          <w:szCs w:val="24"/>
          <w:highlight w:val="none"/>
          <w:lang w:eastAsia="zh-CN"/>
        </w:rPr>
        <w:t>若因加密电子投标文件未能成功上传、误传等其他原因而导致的解密失败，投标将被拒绝。</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6.3开标/上传投标文件/截止时间：202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日9时30分（北京时间）。</w:t>
      </w:r>
    </w:p>
    <w:p>
      <w:pPr>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6.4开标地点：</w:t>
      </w:r>
      <w:r>
        <w:rPr>
          <w:rFonts w:hint="eastAsia" w:ascii="宋体" w:hAnsi="宋体" w:eastAsia="宋体" w:cs="宋体"/>
          <w:color w:val="auto"/>
          <w:sz w:val="24"/>
          <w:szCs w:val="24"/>
          <w:highlight w:val="none"/>
          <w:lang w:val="en-US" w:eastAsia="zh-CN"/>
        </w:rPr>
        <w:t>郑州市东明路187号金成大厦B座河南省机电设备国际招标有限公司11楼</w:t>
      </w:r>
      <w:r>
        <w:rPr>
          <w:rFonts w:hint="eastAsia" w:ascii="宋体" w:hAnsi="宋体" w:eastAsia="宋体" w:cs="宋体"/>
          <w:color w:val="auto"/>
          <w:sz w:val="24"/>
          <w:szCs w:val="24"/>
          <w:highlight w:val="none"/>
          <w:lang w:eastAsia="zh-CN"/>
        </w:rPr>
        <w:t>。</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7.发布公告的媒介</w:t>
      </w:r>
    </w:p>
    <w:p>
      <w:pPr>
        <w:spacing w:line="360" w:lineRule="auto"/>
        <w:ind w:firstLine="480"/>
        <w:rPr>
          <w:rFonts w:hint="eastAsia" w:ascii="宋体" w:hAnsi="宋体" w:eastAsia="宋体" w:cs="宋体"/>
          <w:color w:val="auto"/>
          <w:sz w:val="24"/>
          <w:szCs w:val="24"/>
          <w:highlight w:val="none"/>
        </w:rPr>
      </w:pPr>
      <w:bookmarkStart w:id="22" w:name="_Toc6416010"/>
      <w:r>
        <w:rPr>
          <w:rFonts w:hint="eastAsia" w:ascii="宋体" w:hAnsi="宋体" w:eastAsia="宋体" w:cs="宋体"/>
          <w:color w:val="auto"/>
          <w:sz w:val="24"/>
          <w:szCs w:val="24"/>
          <w:highlight w:val="none"/>
        </w:rPr>
        <w:t>中国招标投标公共服务平台（http://www.cebpubservice.com/)；</w:t>
      </w:r>
      <w:bookmarkEnd w:id="22"/>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河南省电子招标投标公共服务平台（http://hndzzbtb.hndrc.gov.cn/）；</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中原招采网（http://www.zybtp.com/）</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8.联系方式</w:t>
      </w:r>
    </w:p>
    <w:p>
      <w:pPr>
        <w:spacing w:line="360" w:lineRule="auto"/>
        <w:ind w:left="1641" w:hanging="1200"/>
        <w:rPr>
          <w:rFonts w:hint="eastAsia" w:ascii="宋体" w:hAnsi="宋体" w:eastAsia="宋体" w:cs="宋体"/>
          <w:color w:val="auto"/>
          <w:sz w:val="24"/>
          <w:szCs w:val="24"/>
          <w:highlight w:val="none"/>
          <w:lang w:eastAsia="zh-CN"/>
        </w:rPr>
      </w:pPr>
      <w:bookmarkStart w:id="23" w:name="_Toc30677"/>
      <w:bookmarkEnd w:id="23"/>
      <w:bookmarkStart w:id="24" w:name="_Toc442260383"/>
      <w:bookmarkEnd w:id="24"/>
      <w:r>
        <w:rPr>
          <w:rFonts w:hint="eastAsia" w:ascii="宋体" w:hAnsi="宋体" w:eastAsia="宋体" w:cs="宋体"/>
          <w:color w:val="auto"/>
          <w:sz w:val="24"/>
          <w:szCs w:val="24"/>
          <w:highlight w:val="none"/>
          <w:lang w:eastAsia="zh-CN"/>
        </w:rPr>
        <w:t>招标人：河南沃克曼建设工程有限公司</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地址：郑州市农业路投资大厦A座4楼 </w:t>
      </w:r>
    </w:p>
    <w:p>
      <w:pPr>
        <w:spacing w:line="360" w:lineRule="auto"/>
        <w:ind w:left="1641" w:hanging="1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cs="宋体"/>
          <w:color w:val="auto"/>
          <w:sz w:val="24"/>
          <w:szCs w:val="24"/>
          <w:highlight w:val="none"/>
          <w:lang w:val="en-US" w:eastAsia="zh-CN"/>
        </w:rPr>
        <w:t>秦</w:t>
      </w:r>
      <w:r>
        <w:rPr>
          <w:rFonts w:hint="eastAsia" w:ascii="宋体" w:hAnsi="宋体" w:eastAsia="宋体" w:cs="宋体"/>
          <w:color w:val="auto"/>
          <w:sz w:val="24"/>
          <w:szCs w:val="24"/>
          <w:highlight w:val="none"/>
          <w:lang w:val="en-US" w:eastAsia="zh-CN"/>
        </w:rPr>
        <w:t>女士</w:t>
      </w:r>
    </w:p>
    <w:p>
      <w:pPr>
        <w:spacing w:line="360" w:lineRule="auto"/>
        <w:ind w:left="1641" w:hanging="1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联系电话：0371-</w:t>
      </w:r>
      <w:r>
        <w:rPr>
          <w:rFonts w:hint="eastAsia" w:cs="宋体"/>
          <w:color w:val="auto"/>
          <w:sz w:val="24"/>
          <w:szCs w:val="24"/>
          <w:highlight w:val="none"/>
          <w:lang w:val="en-US" w:eastAsia="zh-CN"/>
        </w:rPr>
        <w:t>56150057</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监督部门：河南沃克曼建设工程有限公司综合管理部</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联系电话：0371-69158897</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标代理机构：河南省机电设备国际招标有限公司</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地址：郑州市东明路187号金成大厦B座10楼105</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联系人：何永红  </w:t>
      </w:r>
      <w:r>
        <w:rPr>
          <w:rFonts w:hint="eastAsia" w:cs="宋体"/>
          <w:color w:val="auto"/>
          <w:sz w:val="24"/>
          <w:szCs w:val="24"/>
          <w:highlight w:val="none"/>
          <w:lang w:eastAsia="zh-CN"/>
        </w:rPr>
        <w:t>于青芳</w:t>
      </w:r>
      <w:r>
        <w:rPr>
          <w:rFonts w:hint="eastAsia" w:ascii="宋体" w:hAnsi="宋体" w:eastAsia="宋体" w:cs="宋体"/>
          <w:color w:val="auto"/>
          <w:sz w:val="24"/>
          <w:szCs w:val="24"/>
          <w:highlight w:val="none"/>
          <w:lang w:eastAsia="zh-CN"/>
        </w:rPr>
        <w:t xml:space="preserve">  </w:t>
      </w:r>
      <w:r>
        <w:rPr>
          <w:rFonts w:hint="eastAsia" w:cs="宋体"/>
          <w:color w:val="auto"/>
          <w:sz w:val="24"/>
          <w:szCs w:val="24"/>
          <w:highlight w:val="none"/>
          <w:lang w:eastAsia="zh-CN"/>
        </w:rPr>
        <w:t>周凯</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联系电话：0371-86079192</w:t>
      </w:r>
    </w:p>
    <w:p>
      <w:pPr>
        <w:spacing w:line="360" w:lineRule="auto"/>
        <w:ind w:left="1641"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邮箱：zhaobiao108@126.com </w:t>
      </w:r>
    </w:p>
    <w:p>
      <w:pPr>
        <w:spacing w:line="432" w:lineRule="auto"/>
        <w:ind w:firstLine="48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河南沃克曼建设工程有限公司</w:t>
      </w:r>
    </w:p>
    <w:p>
      <w:pPr>
        <w:spacing w:line="360" w:lineRule="auto"/>
        <w:ind w:firstLine="48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河南省机电设备国际招标有限公司</w:t>
      </w:r>
    </w:p>
    <w:p>
      <w:pPr>
        <w:spacing w:line="360" w:lineRule="auto"/>
        <w:ind w:firstLine="48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日</w:t>
      </w:r>
    </w:p>
    <w:p>
      <w:pPr>
        <w:pStyle w:val="3"/>
        <w:rPr>
          <w:rFonts w:hint="eastAsia" w:ascii="宋体" w:hAnsi="宋体" w:eastAsia="宋体" w:cs="宋体"/>
          <w:color w:val="auto"/>
          <w:sz w:val="24"/>
          <w:szCs w:val="24"/>
          <w:highlight w:val="none"/>
          <w:lang w:eastAsia="zh-CN"/>
        </w:rPr>
        <w:sectPr>
          <w:footerReference r:id="rId6" w:type="default"/>
          <w:pgSz w:w="11907" w:h="16840"/>
          <w:pgMar w:top="1440" w:right="1100" w:bottom="1060" w:left="1580" w:header="0" w:footer="861" w:gutter="0"/>
          <w:pgNumType w:fmt="decimal" w:start="1"/>
          <w:cols w:space="720" w:num="1"/>
        </w:sectPr>
      </w:pPr>
    </w:p>
    <w:p>
      <w:pPr>
        <w:pStyle w:val="3"/>
        <w:rPr>
          <w:rFonts w:hint="eastAsia" w:ascii="宋体" w:hAnsi="宋体" w:eastAsia="宋体" w:cs="宋体"/>
          <w:color w:val="auto"/>
          <w:sz w:val="24"/>
          <w:szCs w:val="24"/>
          <w:highlight w:val="none"/>
          <w:lang w:eastAsia="zh-CN"/>
        </w:rPr>
      </w:pPr>
      <w:bookmarkStart w:id="25" w:name="_Toc10737"/>
      <w:r>
        <w:rPr>
          <w:rFonts w:hint="eastAsia" w:ascii="宋体" w:hAnsi="宋体" w:eastAsia="宋体" w:cs="宋体"/>
          <w:color w:val="auto"/>
          <w:sz w:val="24"/>
          <w:szCs w:val="24"/>
          <w:highlight w:val="none"/>
          <w:lang w:eastAsia="zh-CN"/>
        </w:rPr>
        <w:t>第二章 投标人须知</w:t>
      </w:r>
      <w:bookmarkEnd w:id="2"/>
      <w:bookmarkEnd w:id="3"/>
      <w:bookmarkEnd w:id="4"/>
      <w:bookmarkEnd w:id="5"/>
      <w:bookmarkEnd w:id="25"/>
    </w:p>
    <w:p>
      <w:pPr>
        <w:pStyle w:val="2"/>
        <w:rPr>
          <w:rFonts w:hint="eastAsia" w:ascii="宋体" w:hAnsi="宋体" w:eastAsia="宋体" w:cs="宋体"/>
          <w:color w:val="auto"/>
          <w:sz w:val="24"/>
          <w:szCs w:val="24"/>
          <w:highlight w:val="none"/>
          <w:lang w:eastAsia="zh-CN"/>
        </w:rPr>
      </w:pPr>
      <w:bookmarkStart w:id="26" w:name="_Toc3550"/>
      <w:bookmarkStart w:id="27" w:name="_Toc26288"/>
      <w:bookmarkStart w:id="28" w:name="_Toc3504"/>
      <w:r>
        <w:rPr>
          <w:rFonts w:hint="eastAsia" w:ascii="宋体" w:hAnsi="宋体" w:eastAsia="宋体" w:cs="宋体"/>
          <w:color w:val="auto"/>
          <w:sz w:val="24"/>
          <w:szCs w:val="24"/>
          <w:highlight w:val="none"/>
          <w:lang w:eastAsia="zh-CN"/>
        </w:rPr>
        <w:t>投标人须知前附表</w:t>
      </w:r>
      <w:bookmarkEnd w:id="26"/>
      <w:bookmarkEnd w:id="27"/>
      <w:bookmarkEnd w:id="28"/>
    </w:p>
    <w:tbl>
      <w:tblPr>
        <w:tblStyle w:val="35"/>
        <w:tblW w:w="9652" w:type="dxa"/>
        <w:jc w:val="center"/>
        <w:tblLayout w:type="fixed"/>
        <w:tblCellMar>
          <w:top w:w="0" w:type="dxa"/>
          <w:left w:w="57" w:type="dxa"/>
          <w:bottom w:w="0" w:type="dxa"/>
          <w:right w:w="57" w:type="dxa"/>
        </w:tblCellMar>
      </w:tblPr>
      <w:tblGrid>
        <w:gridCol w:w="918"/>
        <w:gridCol w:w="2210"/>
        <w:gridCol w:w="6524"/>
      </w:tblGrid>
      <w:tr>
        <w:tblPrEx>
          <w:tblCellMar>
            <w:top w:w="0" w:type="dxa"/>
            <w:left w:w="57" w:type="dxa"/>
            <w:bottom w:w="0" w:type="dxa"/>
            <w:right w:w="57" w:type="dxa"/>
          </w:tblCellMar>
        </w:tblPrEx>
        <w:trPr>
          <w:trHeight w:val="503" w:hRule="exac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条款号</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条  款  名  称</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编  列  内  容</w:t>
            </w:r>
          </w:p>
        </w:tc>
      </w:tr>
      <w:tr>
        <w:tblPrEx>
          <w:tblCellMar>
            <w:top w:w="0" w:type="dxa"/>
            <w:left w:w="57" w:type="dxa"/>
            <w:bottom w:w="0" w:type="dxa"/>
            <w:right w:w="57" w:type="dxa"/>
          </w:tblCellMar>
        </w:tblPrEx>
        <w:trP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招标人</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6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招标人：河南沃克曼建设工程有限公司</w:t>
            </w:r>
          </w:p>
          <w:p>
            <w:pPr>
              <w:spacing w:line="46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地址：郑州市农业路投资大厦A座4楼 </w:t>
            </w:r>
          </w:p>
          <w:p>
            <w:pPr>
              <w:spacing w:line="46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秦女士</w:t>
            </w:r>
          </w:p>
          <w:p>
            <w:pPr>
              <w:spacing w:line="46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联系电话：0371-</w:t>
            </w:r>
            <w:r>
              <w:rPr>
                <w:rFonts w:hint="eastAsia" w:ascii="宋体" w:hAnsi="宋体" w:eastAsia="宋体" w:cs="宋体"/>
                <w:color w:val="auto"/>
                <w:sz w:val="24"/>
                <w:szCs w:val="24"/>
                <w:highlight w:val="none"/>
                <w:lang w:val="en-US" w:eastAsia="zh-CN"/>
              </w:rPr>
              <w:t>56150057</w:t>
            </w:r>
          </w:p>
          <w:p>
            <w:pPr>
              <w:spacing w:line="46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监督部门：河南沃克曼建设工程有限公司综合管理部</w:t>
            </w:r>
          </w:p>
          <w:p>
            <w:pPr>
              <w:spacing w:line="460" w:lineRule="atLeas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联系电话：0371-69158897</w:t>
            </w:r>
          </w:p>
        </w:tc>
      </w:tr>
      <w:tr>
        <w:tblPrEx>
          <w:tblCellMar>
            <w:top w:w="0" w:type="dxa"/>
            <w:left w:w="57" w:type="dxa"/>
            <w:bottom w:w="0" w:type="dxa"/>
            <w:right w:w="57" w:type="dxa"/>
          </w:tblCellMar>
        </w:tblPrEx>
        <w:trP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招标代理机构</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6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标代理机构：河南省机电设备国际招标有限公司</w:t>
            </w:r>
          </w:p>
          <w:p>
            <w:pPr>
              <w:spacing w:line="46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地址：郑州市东明路187号金成大厦B座10楼105</w:t>
            </w:r>
          </w:p>
          <w:p>
            <w:pPr>
              <w:spacing w:line="46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联系人：何永红  </w:t>
            </w:r>
            <w:r>
              <w:rPr>
                <w:rFonts w:hint="eastAsia" w:cs="宋体"/>
                <w:color w:val="auto"/>
                <w:sz w:val="24"/>
                <w:szCs w:val="24"/>
                <w:highlight w:val="none"/>
                <w:lang w:eastAsia="zh-CN"/>
              </w:rPr>
              <w:t>于青芳</w:t>
            </w:r>
            <w:r>
              <w:rPr>
                <w:rFonts w:hint="eastAsia" w:ascii="宋体" w:hAnsi="宋体" w:eastAsia="宋体" w:cs="宋体"/>
                <w:color w:val="auto"/>
                <w:sz w:val="24"/>
                <w:szCs w:val="24"/>
                <w:highlight w:val="none"/>
                <w:lang w:eastAsia="zh-CN"/>
              </w:rPr>
              <w:t xml:space="preserve">  </w:t>
            </w:r>
            <w:r>
              <w:rPr>
                <w:rFonts w:hint="eastAsia" w:cs="宋体"/>
                <w:color w:val="auto"/>
                <w:sz w:val="24"/>
                <w:szCs w:val="24"/>
                <w:highlight w:val="none"/>
                <w:lang w:eastAsia="zh-CN"/>
              </w:rPr>
              <w:t>周凯</w:t>
            </w:r>
          </w:p>
          <w:p>
            <w:pPr>
              <w:spacing w:line="46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联系电话：0371-86079192</w:t>
            </w:r>
          </w:p>
          <w:p>
            <w:pPr>
              <w:spacing w:line="4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邮箱：zhaobiao108@126.com</w:t>
            </w:r>
          </w:p>
        </w:tc>
      </w:tr>
      <w:tr>
        <w:tblPrEx>
          <w:tblCellMar>
            <w:top w:w="0" w:type="dxa"/>
            <w:left w:w="57" w:type="dxa"/>
            <w:bottom w:w="0" w:type="dxa"/>
            <w:right w:w="57" w:type="dxa"/>
          </w:tblCellMar>
        </w:tblPrEx>
        <w:trPr>
          <w:trHeight w:val="840"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项目名称</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eastAsia="zh-CN"/>
              </w:rPr>
              <w:t>河南沃克曼建设工程有限公司通辽市生活垃圾焚烧发电项目土建尾项工程施工</w:t>
            </w:r>
          </w:p>
        </w:tc>
      </w:tr>
      <w:tr>
        <w:tblPrEx>
          <w:tblCellMar>
            <w:top w:w="0" w:type="dxa"/>
            <w:left w:w="57" w:type="dxa"/>
            <w:bottom w:w="0" w:type="dxa"/>
            <w:right w:w="57" w:type="dxa"/>
          </w:tblCellMar>
        </w:tblPrEx>
        <w:trPr>
          <w:trHeight w:val="45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建设地点</w:t>
            </w:r>
          </w:p>
        </w:tc>
        <w:tc>
          <w:tcPr>
            <w:tcW w:w="6524" w:type="dxa"/>
            <w:tcBorders>
              <w:top w:val="single" w:color="auto" w:sz="4" w:space="0"/>
              <w:left w:val="single" w:color="auto" w:sz="4" w:space="0"/>
              <w:bottom w:val="single" w:color="auto" w:sz="4" w:space="0"/>
              <w:right w:val="single" w:color="auto" w:sz="4" w:space="0"/>
            </w:tcBorders>
            <w:vAlign w:val="bottom"/>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bCs/>
                <w:color w:val="auto"/>
                <w:sz w:val="24"/>
                <w:szCs w:val="24"/>
                <w:highlight w:val="none"/>
                <w:lang w:eastAsia="zh-CN"/>
              </w:rPr>
              <w:t>见第一章招标公告</w:t>
            </w:r>
          </w:p>
        </w:tc>
      </w:tr>
      <w:tr>
        <w:tblPrEx>
          <w:tblCellMar>
            <w:top w:w="0" w:type="dxa"/>
            <w:left w:w="57" w:type="dxa"/>
            <w:bottom w:w="0" w:type="dxa"/>
            <w:right w:w="57" w:type="dxa"/>
          </w:tblCellMar>
        </w:tblPrEx>
        <w:trPr>
          <w:trHeight w:val="45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1.2.1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资金来源</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p>
        </w:tc>
      </w:tr>
      <w:tr>
        <w:tblPrEx>
          <w:tblCellMar>
            <w:top w:w="0" w:type="dxa"/>
            <w:left w:w="57" w:type="dxa"/>
            <w:bottom w:w="0" w:type="dxa"/>
            <w:right w:w="57" w:type="dxa"/>
          </w:tblCellMar>
        </w:tblPrEx>
        <w:trPr>
          <w:trHeight w:val="45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1.2.2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资金落实情况</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已落实</w:t>
            </w:r>
          </w:p>
        </w:tc>
      </w:tr>
      <w:tr>
        <w:tblPrEx>
          <w:tblCellMar>
            <w:top w:w="0" w:type="dxa"/>
            <w:left w:w="57" w:type="dxa"/>
            <w:bottom w:w="0" w:type="dxa"/>
            <w:right w:w="57" w:type="dxa"/>
          </w:tblCellMar>
        </w:tblPrEx>
        <w:trPr>
          <w:trHeight w:val="422"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1.3.1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招标范围</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bCs/>
                <w:color w:val="auto"/>
                <w:sz w:val="24"/>
                <w:szCs w:val="24"/>
                <w:highlight w:val="none"/>
                <w:lang w:eastAsia="zh-CN"/>
              </w:rPr>
              <w:t>见第一章招标公告</w:t>
            </w:r>
          </w:p>
        </w:tc>
      </w:tr>
      <w:tr>
        <w:tblPrEx>
          <w:tblCellMar>
            <w:top w:w="0" w:type="dxa"/>
            <w:left w:w="57" w:type="dxa"/>
            <w:bottom w:w="0" w:type="dxa"/>
            <w:right w:w="57" w:type="dxa"/>
          </w:tblCellMar>
        </w:tblPrEx>
        <w:trPr>
          <w:trHeight w:val="440"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1.3.2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工期要求</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bCs/>
                <w:color w:val="auto"/>
                <w:sz w:val="24"/>
                <w:szCs w:val="24"/>
                <w:highlight w:val="none"/>
                <w:lang w:eastAsia="zh-CN"/>
              </w:rPr>
              <w:t>见第一章招标公告</w:t>
            </w:r>
          </w:p>
        </w:tc>
      </w:tr>
      <w:tr>
        <w:tblPrEx>
          <w:tblCellMar>
            <w:top w:w="0" w:type="dxa"/>
            <w:left w:w="57" w:type="dxa"/>
            <w:bottom w:w="0" w:type="dxa"/>
            <w:right w:w="57" w:type="dxa"/>
          </w:tblCellMar>
        </w:tblPrEx>
        <w:trPr>
          <w:trHeight w:val="40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1.3.3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质量标准</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bCs/>
                <w:color w:val="auto"/>
                <w:sz w:val="24"/>
                <w:szCs w:val="24"/>
                <w:highlight w:val="none"/>
                <w:lang w:eastAsia="zh-CN"/>
              </w:rPr>
              <w:t>见第一章招标公告</w:t>
            </w:r>
          </w:p>
        </w:tc>
      </w:tr>
      <w:tr>
        <w:tblPrEx>
          <w:tblCellMar>
            <w:top w:w="0" w:type="dxa"/>
            <w:left w:w="57" w:type="dxa"/>
            <w:bottom w:w="0" w:type="dxa"/>
            <w:right w:w="57" w:type="dxa"/>
          </w:tblCellMar>
        </w:tblPrEx>
        <w:trPr>
          <w:trHeight w:val="91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1.4.1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投标人资质条件、能力和信誉</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见</w:t>
            </w:r>
            <w:r>
              <w:rPr>
                <w:rFonts w:hint="eastAsia" w:ascii="宋体" w:hAnsi="宋体" w:eastAsia="宋体" w:cs="宋体"/>
                <w:bCs/>
                <w:color w:val="auto"/>
                <w:sz w:val="24"/>
                <w:szCs w:val="24"/>
                <w:highlight w:val="none"/>
                <w:lang w:eastAsia="zh-CN"/>
              </w:rPr>
              <w:t>第一章</w:t>
            </w:r>
            <w:r>
              <w:rPr>
                <w:rFonts w:hint="eastAsia" w:ascii="宋体" w:hAnsi="宋体" w:eastAsia="宋体" w:cs="宋体"/>
                <w:color w:val="auto"/>
                <w:kern w:val="2"/>
                <w:sz w:val="24"/>
                <w:szCs w:val="24"/>
                <w:highlight w:val="none"/>
                <w:lang w:eastAsia="zh-CN"/>
              </w:rPr>
              <w:t>招标公告投标人资格要求</w:t>
            </w:r>
          </w:p>
        </w:tc>
      </w:tr>
      <w:tr>
        <w:tblPrEx>
          <w:tblCellMar>
            <w:top w:w="0" w:type="dxa"/>
            <w:left w:w="57" w:type="dxa"/>
            <w:bottom w:w="0" w:type="dxa"/>
            <w:right w:w="57" w:type="dxa"/>
          </w:tblCellMar>
        </w:tblPrEx>
        <w:trPr>
          <w:trHeight w:val="501"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1.4.2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是否接受联合体投标</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不接受</w:t>
            </w:r>
          </w:p>
        </w:tc>
      </w:tr>
      <w:tr>
        <w:tblPrEx>
          <w:tblCellMar>
            <w:top w:w="0" w:type="dxa"/>
            <w:left w:w="57" w:type="dxa"/>
            <w:bottom w:w="0" w:type="dxa"/>
            <w:right w:w="57" w:type="dxa"/>
          </w:tblCellMar>
        </w:tblPrEx>
        <w:trPr>
          <w:trHeight w:val="54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1.5.1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踏勘现场</w:t>
            </w:r>
          </w:p>
        </w:tc>
        <w:tc>
          <w:tcPr>
            <w:tcW w:w="6524"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不组织。场地条件复杂，鼓励投标人自行踏勘现场。</w:t>
            </w:r>
          </w:p>
          <w:p>
            <w:pPr>
              <w:adjustRightInd w:val="0"/>
              <w:spacing w:line="44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中标人不得以不了解施工现场为由提出费用补偿等任何要求。</w:t>
            </w:r>
          </w:p>
        </w:tc>
      </w:tr>
      <w:tr>
        <w:tblPrEx>
          <w:tblCellMar>
            <w:top w:w="0" w:type="dxa"/>
            <w:left w:w="57" w:type="dxa"/>
            <w:bottom w:w="0" w:type="dxa"/>
            <w:right w:w="57" w:type="dxa"/>
          </w:tblCellMar>
        </w:tblPrEx>
        <w:trPr>
          <w:trHeight w:val="57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1.6.2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投标预备会</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如需召开，另行通知。</w:t>
            </w:r>
          </w:p>
        </w:tc>
      </w:tr>
      <w:tr>
        <w:tblPrEx>
          <w:tblCellMar>
            <w:top w:w="0" w:type="dxa"/>
            <w:left w:w="57" w:type="dxa"/>
            <w:bottom w:w="0" w:type="dxa"/>
            <w:right w:w="57" w:type="dxa"/>
          </w:tblCellMar>
        </w:tblPrEx>
        <w:trP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1.10.3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招标人书面澄清的</w:t>
            </w:r>
          </w:p>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时间</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投标截止时间</w:t>
            </w:r>
            <w:r>
              <w:rPr>
                <w:rFonts w:hint="eastAsia" w:ascii="宋体" w:hAnsi="宋体" w:eastAsia="宋体" w:cs="宋体"/>
                <w:color w:val="auto"/>
                <w:sz w:val="24"/>
                <w:szCs w:val="24"/>
                <w:highlight w:val="none"/>
                <w:u w:val="single"/>
                <w:lang w:eastAsia="zh-CN"/>
              </w:rPr>
              <w:t xml:space="preserve">  15   </w:t>
            </w:r>
            <w:r>
              <w:rPr>
                <w:rFonts w:hint="eastAsia" w:ascii="宋体" w:hAnsi="宋体" w:eastAsia="宋体" w:cs="宋体"/>
                <w:color w:val="auto"/>
                <w:sz w:val="24"/>
                <w:szCs w:val="24"/>
                <w:highlight w:val="none"/>
                <w:lang w:eastAsia="zh-CN"/>
              </w:rPr>
              <w:t>日前</w:t>
            </w:r>
          </w:p>
        </w:tc>
      </w:tr>
      <w:tr>
        <w:tblPrEx>
          <w:tblCellMar>
            <w:top w:w="0" w:type="dxa"/>
            <w:left w:w="57" w:type="dxa"/>
            <w:bottom w:w="0" w:type="dxa"/>
            <w:right w:w="57" w:type="dxa"/>
          </w:tblCellMar>
        </w:tblPrEx>
        <w:trPr>
          <w:trHeight w:val="492"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1.11.1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分包</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不允许</w:t>
            </w:r>
          </w:p>
        </w:tc>
      </w:tr>
      <w:tr>
        <w:tblPrEx>
          <w:tblCellMar>
            <w:top w:w="0" w:type="dxa"/>
            <w:left w:w="57" w:type="dxa"/>
            <w:bottom w:w="0" w:type="dxa"/>
            <w:right w:w="57" w:type="dxa"/>
          </w:tblCellMar>
        </w:tblPrEx>
        <w:trPr>
          <w:trHeight w:val="556"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1.12.1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偏离</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允许正偏离，但所有偏离必须列入商务技术差异表中</w:t>
            </w:r>
          </w:p>
        </w:tc>
      </w:tr>
      <w:tr>
        <w:tblPrEx>
          <w:tblCellMar>
            <w:top w:w="0" w:type="dxa"/>
            <w:left w:w="57" w:type="dxa"/>
            <w:bottom w:w="0" w:type="dxa"/>
            <w:right w:w="57" w:type="dxa"/>
          </w:tblCellMar>
        </w:tblPrEx>
        <w:trPr>
          <w:trHeight w:val="90"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构成招标文件的</w:t>
            </w:r>
          </w:p>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其他材料</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招标文件的补充文件（如有）、补遗书。</w:t>
            </w:r>
          </w:p>
        </w:tc>
      </w:tr>
      <w:tr>
        <w:tblPrEx>
          <w:tblCellMar>
            <w:top w:w="0" w:type="dxa"/>
            <w:left w:w="57" w:type="dxa"/>
            <w:bottom w:w="0" w:type="dxa"/>
            <w:right w:w="57" w:type="dxa"/>
          </w:tblCellMar>
        </w:tblPrEx>
        <w:trPr>
          <w:trHeight w:val="90"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2.2.1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投标人要求澄清</w:t>
            </w:r>
          </w:p>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招标文件的截止时间</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投标截止时间</w:t>
            </w:r>
            <w:r>
              <w:rPr>
                <w:rFonts w:hint="eastAsia" w:ascii="宋体" w:hAnsi="宋体" w:eastAsia="宋体" w:cs="宋体"/>
                <w:color w:val="auto"/>
                <w:sz w:val="24"/>
                <w:szCs w:val="24"/>
                <w:highlight w:val="none"/>
                <w:u w:val="single"/>
                <w:lang w:eastAsia="zh-CN"/>
              </w:rPr>
              <w:t xml:space="preserve">  1</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日前</w:t>
            </w:r>
          </w:p>
        </w:tc>
      </w:tr>
      <w:tr>
        <w:tblPrEx>
          <w:tblCellMar>
            <w:top w:w="0" w:type="dxa"/>
            <w:left w:w="57" w:type="dxa"/>
            <w:bottom w:w="0" w:type="dxa"/>
            <w:right w:w="57" w:type="dxa"/>
          </w:tblCellMar>
        </w:tblPrEx>
        <w:trPr>
          <w:trHeight w:val="58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2.2.2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投标截止时间</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详见招标公告</w:t>
            </w:r>
          </w:p>
        </w:tc>
      </w:tr>
      <w:tr>
        <w:tblPrEx>
          <w:tblCellMar>
            <w:top w:w="0" w:type="dxa"/>
            <w:left w:w="57" w:type="dxa"/>
            <w:bottom w:w="0" w:type="dxa"/>
            <w:right w:w="57" w:type="dxa"/>
          </w:tblCellMar>
        </w:tblPrEx>
        <w:trPr>
          <w:trHeight w:val="58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2.2.3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投标人确认收到招标文件澄清的时间</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在收到相应澄清文件后</w:t>
            </w:r>
            <w:r>
              <w:rPr>
                <w:rFonts w:hint="eastAsia" w:ascii="宋体" w:hAnsi="宋体" w:eastAsia="宋体" w:cs="宋体"/>
                <w:color w:val="auto"/>
                <w:kern w:val="2"/>
                <w:sz w:val="24"/>
                <w:szCs w:val="24"/>
                <w:highlight w:val="none"/>
                <w:u w:val="single"/>
                <w:lang w:eastAsia="zh-CN"/>
              </w:rPr>
              <w:t xml:space="preserve"> 24 </w:t>
            </w:r>
            <w:r>
              <w:rPr>
                <w:rFonts w:hint="eastAsia" w:ascii="宋体" w:hAnsi="宋体" w:eastAsia="宋体" w:cs="宋体"/>
                <w:color w:val="auto"/>
                <w:kern w:val="2"/>
                <w:sz w:val="24"/>
                <w:szCs w:val="24"/>
                <w:highlight w:val="none"/>
                <w:lang w:eastAsia="zh-CN"/>
              </w:rPr>
              <w:t>小时内</w:t>
            </w:r>
          </w:p>
        </w:tc>
      </w:tr>
      <w:tr>
        <w:tblPrEx>
          <w:tblCellMar>
            <w:top w:w="0" w:type="dxa"/>
            <w:left w:w="57" w:type="dxa"/>
            <w:bottom w:w="0" w:type="dxa"/>
            <w:right w:w="57" w:type="dxa"/>
          </w:tblCellMar>
        </w:tblPrEx>
        <w:trP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2.3.2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投标人确认收到招标文件修改的时间</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在收到相应修改文件后</w:t>
            </w:r>
            <w:r>
              <w:rPr>
                <w:rFonts w:hint="eastAsia" w:ascii="宋体" w:hAnsi="宋体" w:eastAsia="宋体" w:cs="宋体"/>
                <w:color w:val="auto"/>
                <w:kern w:val="2"/>
                <w:sz w:val="24"/>
                <w:szCs w:val="24"/>
                <w:highlight w:val="none"/>
                <w:u w:val="single"/>
                <w:lang w:eastAsia="zh-CN"/>
              </w:rPr>
              <w:t xml:space="preserve"> 24 </w:t>
            </w:r>
            <w:r>
              <w:rPr>
                <w:rFonts w:hint="eastAsia" w:ascii="宋体" w:hAnsi="宋体" w:eastAsia="宋体" w:cs="宋体"/>
                <w:color w:val="auto"/>
                <w:kern w:val="2"/>
                <w:sz w:val="24"/>
                <w:szCs w:val="24"/>
                <w:highlight w:val="none"/>
                <w:lang w:eastAsia="zh-CN"/>
              </w:rPr>
              <w:t>小时内</w:t>
            </w:r>
          </w:p>
        </w:tc>
      </w:tr>
      <w:tr>
        <w:tblPrEx>
          <w:tblCellMar>
            <w:top w:w="0" w:type="dxa"/>
            <w:left w:w="57" w:type="dxa"/>
            <w:bottom w:w="0" w:type="dxa"/>
            <w:right w:w="57" w:type="dxa"/>
          </w:tblCellMar>
        </w:tblPrEx>
        <w:trPr>
          <w:trHeight w:val="58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3.3.1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投标有效期</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lang w:eastAsia="zh-CN"/>
              </w:rPr>
              <w:t xml:space="preserve">120 </w:t>
            </w:r>
            <w:r>
              <w:rPr>
                <w:rFonts w:hint="eastAsia" w:ascii="宋体" w:hAnsi="宋体" w:eastAsia="宋体" w:cs="宋体"/>
                <w:color w:val="auto"/>
                <w:kern w:val="2"/>
                <w:sz w:val="24"/>
                <w:szCs w:val="24"/>
                <w:highlight w:val="none"/>
                <w:lang w:eastAsia="zh-CN"/>
              </w:rPr>
              <w:t>日历天</w:t>
            </w:r>
          </w:p>
        </w:tc>
      </w:tr>
      <w:tr>
        <w:tblPrEx>
          <w:tblCellMar>
            <w:top w:w="0" w:type="dxa"/>
            <w:left w:w="57" w:type="dxa"/>
            <w:bottom w:w="0" w:type="dxa"/>
            <w:right w:w="57" w:type="dxa"/>
          </w:tblCellMar>
        </w:tblPrEx>
        <w:trPr>
          <w:trHeight w:val="1883"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3.4.1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投标保证金</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投标人递交：</w:t>
            </w:r>
            <w:r>
              <w:rPr>
                <w:rFonts w:hint="eastAsia" w:ascii="宋体" w:hAnsi="宋体" w:eastAsia="宋体" w:cs="宋体"/>
                <w:b/>
                <w:bCs/>
                <w:color w:val="auto"/>
                <w:sz w:val="24"/>
                <w:szCs w:val="24"/>
                <w:highlight w:val="none"/>
                <w:u w:val="single"/>
                <w:lang w:eastAsia="zh-CN"/>
              </w:rPr>
              <w:t>人民币</w:t>
            </w:r>
            <w:r>
              <w:rPr>
                <w:rFonts w:hint="eastAsia" w:ascii="宋体" w:hAnsi="宋体" w:eastAsia="宋体" w:cs="宋体"/>
                <w:b/>
                <w:bCs/>
                <w:color w:val="auto"/>
                <w:sz w:val="24"/>
                <w:szCs w:val="24"/>
                <w:highlight w:val="none"/>
                <w:u w:val="single"/>
                <w:lang w:val="en-US" w:eastAsia="zh-CN"/>
              </w:rPr>
              <w:t>拾</w:t>
            </w:r>
            <w:r>
              <w:rPr>
                <w:rFonts w:hint="eastAsia" w:ascii="宋体" w:hAnsi="宋体" w:eastAsia="宋体" w:cs="宋体"/>
                <w:b/>
                <w:bCs/>
                <w:color w:val="auto"/>
                <w:sz w:val="24"/>
                <w:szCs w:val="24"/>
                <w:highlight w:val="none"/>
                <w:u w:val="single"/>
                <w:lang w:eastAsia="zh-CN"/>
              </w:rPr>
              <w:t>万元整</w:t>
            </w:r>
            <w:r>
              <w:rPr>
                <w:rFonts w:hint="eastAsia" w:ascii="宋体" w:hAnsi="宋体" w:eastAsia="宋体" w:cs="宋体"/>
                <w:color w:val="auto"/>
                <w:kern w:val="2"/>
                <w:sz w:val="24"/>
                <w:szCs w:val="24"/>
                <w:highlight w:val="none"/>
                <w:lang w:eastAsia="zh-CN"/>
              </w:rPr>
              <w:t>做为投标保证金，并作为其投标的一部分，投标保证金有效期与投标有效期一致。</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形式：银行转帐、银行电汇（均需从投标人的基本账户汇出）、电子保函。</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使用电子保函的操作流程详见中原招采网：《平台供应商&lt;电子保函&gt;使用指南http://www.zybtp.com/gys/172323.jhtml</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使用银行转帐形式的，于投标截止时间前通过投标人基本账户将款项一次性足额递交、并成功绑定，以收款人到账时间为准，在途资金无效，视为未按时交纳。同时投标人应承担节假日银行系统不能支付的风险。</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投标保证金交纳方式:</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1）.银行转帐或银行电汇（需从投标人的基本账户汇出）</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①投标人网上报名后，登录中原采购交易平台系统（www.zybtp.com），依次点击“我参与的项目”→“项目向导”→“交纳投标保证金”→“保证金交纳说明单”，获取交费说明单，每个标段的交费说明单在招标截止时间前交纳；</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成功交纳后重新登录系统，依次点击“我参与的项目”→“项目向导”→“交纳投标保证金”→“保证金查询确认”进行投标保证金确认。</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②投标人要严格按照“保证金交纳操作指南”（《保证金交纳操作指南》（http://www.zybtp.com/gys/58452.jhtml））内容交纳、成功确认投标保证金，未确认标段的投标保证金，视为未按时交纳。每个投标人每个项目每个标段只有唯一交纳账号，切勿重复交纳或错误交纳。</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③未按上述规定操作引起的无效招标，由投标人自行负责。</w:t>
            </w:r>
          </w:p>
          <w:p>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④汇款凭证无须备注项目编号和项目名称。</w:t>
            </w:r>
            <w:r>
              <w:rPr>
                <w:rFonts w:hint="eastAsia" w:ascii="宋体" w:hAnsi="宋体" w:eastAsia="宋体" w:cs="宋体"/>
                <w:color w:val="auto"/>
                <w:sz w:val="24"/>
                <w:szCs w:val="24"/>
                <w:highlight w:val="none"/>
                <w:lang w:eastAsia="zh-CN"/>
              </w:rPr>
              <w:t xml:space="preserve">  </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2）.电子保函</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登录中原招标采购交易平台系统，在参与项目缴纳投标保证金环节节点下点击“购买保函”按钮，在线确认企业信息并选择保险公司，由保险公司为投标人在线开具电子招标保函。在招标截止时间前开具成功的电子招标保函与系统绑定确认生效。</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具体操作如下:</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①投标人网上报名后，登录中原招标采购交易平台系统（www.zybtp.com），依次点击“我参与的项目”→“项目向导”→“交纳投标保证金”→“购买保函”，确认无误后，选择保险公司，并核对投标人信息后，点击立即投保按钮，并成功付款。</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②成功付款后重新登录系统，依次点击“我参与的项目”→“项目向导”→“交纳投标保证金”→“电子保函申请”进行投标保证金绑定。</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③未按上述规定操作引起的无效投标，由投标人自行负责。</w:t>
            </w:r>
          </w:p>
        </w:tc>
      </w:tr>
      <w:tr>
        <w:tblPrEx>
          <w:tblCellMar>
            <w:top w:w="0" w:type="dxa"/>
            <w:left w:w="57" w:type="dxa"/>
            <w:bottom w:w="0" w:type="dxa"/>
            <w:right w:w="57" w:type="dxa"/>
          </w:tblCellMar>
        </w:tblPrEx>
        <w:trPr>
          <w:trHeight w:val="2762"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3.4.2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投标保证金的退还</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保证金的退还：请查看《中原招标采购交易平台交易项目保证金管理办法（试行）》。通过平台进行交易的项目，在招标人（招标代理机构）发出中标通知书和未中标通知书及发布项目结果公告之日起5日内，由平台按程序退还未中标人的保证金。中标候选人保证金在项目合同签订并上传平台系统之日起5日内，由平台按程序退还中标候选人保证金。</w:t>
            </w:r>
          </w:p>
        </w:tc>
      </w:tr>
      <w:tr>
        <w:tblPrEx>
          <w:tblCellMar>
            <w:top w:w="0" w:type="dxa"/>
            <w:left w:w="57" w:type="dxa"/>
            <w:bottom w:w="0" w:type="dxa"/>
            <w:right w:w="57" w:type="dxa"/>
          </w:tblCellMar>
        </w:tblPrEx>
        <w:trPr>
          <w:trHeight w:val="104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3.5.2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近年财务状况</w:t>
            </w:r>
          </w:p>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的年份要求</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p>
        </w:tc>
      </w:tr>
      <w:tr>
        <w:tblPrEx>
          <w:tblCellMar>
            <w:top w:w="0" w:type="dxa"/>
            <w:left w:w="57" w:type="dxa"/>
            <w:bottom w:w="0" w:type="dxa"/>
            <w:right w:w="57" w:type="dxa"/>
          </w:tblCellMar>
        </w:tblPrEx>
        <w:trPr>
          <w:trHeight w:val="875"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3.6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是否允许递交</w:t>
            </w:r>
          </w:p>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备选投标方案</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不允许</w:t>
            </w:r>
          </w:p>
        </w:tc>
      </w:tr>
      <w:tr>
        <w:tblPrEx>
          <w:tblCellMar>
            <w:top w:w="0" w:type="dxa"/>
            <w:left w:w="57" w:type="dxa"/>
            <w:bottom w:w="0" w:type="dxa"/>
            <w:right w:w="57" w:type="dxa"/>
          </w:tblCellMar>
        </w:tblPrEx>
        <w:trPr>
          <w:trHeight w:val="189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3.7.3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签字或盖章要求</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①招标文件规定的投标文件格式中所有签字盖章的地方必须按招标文件明示的方式签字或盖章；</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②投标文件中如果有涂改、插字、删除等情况，必须由投标人在文件改动处加盖投标单位公章。</w:t>
            </w:r>
          </w:p>
        </w:tc>
      </w:tr>
      <w:tr>
        <w:tblPrEx>
          <w:tblCellMar>
            <w:top w:w="0" w:type="dxa"/>
            <w:left w:w="57" w:type="dxa"/>
            <w:bottom w:w="0" w:type="dxa"/>
            <w:right w:w="57" w:type="dxa"/>
          </w:tblCellMar>
        </w:tblPrEx>
        <w:trPr>
          <w:trHeight w:val="2407"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3.7.4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投标文件份数</w:t>
            </w:r>
          </w:p>
        </w:tc>
        <w:tc>
          <w:tcPr>
            <w:tcW w:w="65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评标结果公告发布后，由中标人提供纸质投标文件1正2副和电子版投标文件U盘1份（“中原招标采购交易平台投标文件制作系统”制作、生成、导出的全部电子投标文件）邮寄给招标代理机构，非中标人无需提供纸质投标文件和U盘。</w:t>
            </w:r>
          </w:p>
        </w:tc>
      </w:tr>
      <w:tr>
        <w:tblPrEx>
          <w:tblCellMar>
            <w:top w:w="0" w:type="dxa"/>
            <w:left w:w="57" w:type="dxa"/>
            <w:bottom w:w="0" w:type="dxa"/>
            <w:right w:w="57" w:type="dxa"/>
          </w:tblCellMar>
        </w:tblPrEx>
        <w:trPr>
          <w:trHeight w:val="90"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4.1.1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装订要求</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中标人投标文件应装订成册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eastAsia="zh-CN"/>
              </w:rPr>
              <w:t>左侧胶装，不得采用活页夹等可随时拆换的方式装订。商务部分技术部分可装成一册或分别装订，已标价工程量清单部分单独装订成册。</w:t>
            </w:r>
          </w:p>
        </w:tc>
      </w:tr>
      <w:tr>
        <w:tblPrEx>
          <w:tblCellMar>
            <w:top w:w="0" w:type="dxa"/>
            <w:left w:w="57" w:type="dxa"/>
            <w:bottom w:w="0" w:type="dxa"/>
            <w:right w:w="57" w:type="dxa"/>
          </w:tblCellMar>
        </w:tblPrEx>
        <w:trPr>
          <w:trHeight w:val="1859"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4.1.2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封套上写明</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标明正/副本；</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招标人名称：河南沃克曼建设工程有限公司</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lang w:eastAsia="zh-CN"/>
              </w:rPr>
              <w:t xml:space="preserve">    （项目名称XX标段）     </w:t>
            </w:r>
            <w:r>
              <w:rPr>
                <w:rFonts w:hint="eastAsia" w:ascii="宋体" w:hAnsi="宋体" w:eastAsia="宋体" w:cs="宋体"/>
                <w:color w:val="auto"/>
                <w:kern w:val="2"/>
                <w:sz w:val="24"/>
                <w:szCs w:val="24"/>
                <w:highlight w:val="none"/>
                <w:lang w:eastAsia="zh-CN"/>
              </w:rPr>
              <w:t>投标文件</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在   年   月    日时分前不得开启</w:t>
            </w:r>
          </w:p>
        </w:tc>
      </w:tr>
      <w:tr>
        <w:tblPrEx>
          <w:tblCellMar>
            <w:top w:w="0" w:type="dxa"/>
            <w:left w:w="57" w:type="dxa"/>
            <w:bottom w:w="0" w:type="dxa"/>
            <w:right w:w="57" w:type="dxa"/>
          </w:tblCellMar>
        </w:tblPrEx>
        <w:trPr>
          <w:trHeight w:val="53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4.2.2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递交投标文件地点</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详见招标公告</w:t>
            </w:r>
          </w:p>
        </w:tc>
      </w:tr>
      <w:tr>
        <w:tblPrEx>
          <w:tblCellMar>
            <w:top w:w="0" w:type="dxa"/>
            <w:left w:w="57" w:type="dxa"/>
            <w:bottom w:w="0" w:type="dxa"/>
            <w:right w:w="57" w:type="dxa"/>
          </w:tblCellMar>
        </w:tblPrEx>
        <w:trPr>
          <w:trHeight w:val="614"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4.2.3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投标文件是否退还</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否</w:t>
            </w:r>
          </w:p>
        </w:tc>
      </w:tr>
      <w:tr>
        <w:tblPrEx>
          <w:tblCellMar>
            <w:top w:w="0" w:type="dxa"/>
            <w:left w:w="57" w:type="dxa"/>
            <w:bottom w:w="0" w:type="dxa"/>
            <w:right w:w="57" w:type="dxa"/>
          </w:tblCellMar>
        </w:tblPrEx>
        <w:trPr>
          <w:trHeight w:val="1190"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开标时间和地点</w:t>
            </w:r>
          </w:p>
        </w:tc>
        <w:tc>
          <w:tcPr>
            <w:tcW w:w="65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开标时间：同投标截止时间</w:t>
            </w:r>
          </w:p>
          <w:p>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开标地点：</w:t>
            </w:r>
            <w:r>
              <w:rPr>
                <w:rFonts w:hint="eastAsia" w:ascii="宋体" w:hAnsi="宋体" w:eastAsia="宋体" w:cs="宋体"/>
                <w:color w:val="auto"/>
                <w:kern w:val="2"/>
                <w:sz w:val="24"/>
                <w:szCs w:val="24"/>
                <w:highlight w:val="none"/>
                <w:lang w:val="en-US" w:eastAsia="zh-CN"/>
              </w:rPr>
              <w:t>郑州市东明路187号金成大厦B座河南省机电设备国际招标有限公司11楼</w:t>
            </w:r>
          </w:p>
        </w:tc>
      </w:tr>
      <w:tr>
        <w:tblPrEx>
          <w:tblCellMar>
            <w:top w:w="0" w:type="dxa"/>
            <w:left w:w="57" w:type="dxa"/>
            <w:bottom w:w="0" w:type="dxa"/>
            <w:right w:w="57" w:type="dxa"/>
          </w:tblCellMar>
        </w:tblPrEx>
        <w:trPr>
          <w:trHeight w:val="3647"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开标主要程序</w:t>
            </w:r>
          </w:p>
        </w:tc>
        <w:tc>
          <w:tcPr>
            <w:tcW w:w="6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采用“远程不见面”开标方式，投标人无需到达开标现场参加开标会议，无需到达现场提交资料。投标人应当在投标截止时间，登录中原招标采购交易平台（http://www.zybtp.com/），在线准时参加开标活动并进行文件解密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若因加密电子投标文件未能成功上传、误传等其他原因而导致的解密失败，投标将被拒绝。</w:t>
            </w:r>
            <w:r>
              <w:rPr>
                <w:rFonts w:hint="eastAsia" w:ascii="宋体" w:hAnsi="宋体" w:eastAsia="宋体" w:cs="宋体"/>
                <w:color w:val="auto"/>
                <w:sz w:val="24"/>
                <w:szCs w:val="24"/>
                <w:highlight w:val="none"/>
              </w:rPr>
              <w:t>期间不要远离电脑。</w:t>
            </w:r>
          </w:p>
        </w:tc>
      </w:tr>
      <w:tr>
        <w:tblPrEx>
          <w:tblCellMar>
            <w:top w:w="0" w:type="dxa"/>
            <w:left w:w="57" w:type="dxa"/>
            <w:bottom w:w="0" w:type="dxa"/>
            <w:right w:w="57" w:type="dxa"/>
          </w:tblCellMar>
        </w:tblPrEx>
        <w:trPr>
          <w:trHeight w:val="2845"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评标委员会的组建</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委员会构成：7人，其中招标人代表2人、技术经济专家5人；评标委员会确定方式：开标前，从相关评标专家库中随机抽取。根据《评标委员会和评标方法暂行规定》（七部委第12号令)及《中华人民共和国招标投标法》相关规定，考虑招标人对招标项目比较熟悉，评标委员会负责人由招标人担任。</w:t>
            </w:r>
          </w:p>
        </w:tc>
      </w:tr>
      <w:tr>
        <w:tblPrEx>
          <w:tblCellMar>
            <w:top w:w="0" w:type="dxa"/>
            <w:left w:w="57" w:type="dxa"/>
            <w:bottom w:w="0" w:type="dxa"/>
            <w:right w:w="57" w:type="dxa"/>
          </w:tblCellMar>
        </w:tblPrEx>
        <w:trPr>
          <w:trHeight w:val="50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评标方法：综合评标法。</w:t>
            </w:r>
          </w:p>
        </w:tc>
      </w:tr>
      <w:tr>
        <w:tblPrEx>
          <w:tblCellMar>
            <w:top w:w="0" w:type="dxa"/>
            <w:left w:w="57" w:type="dxa"/>
            <w:bottom w:w="0" w:type="dxa"/>
            <w:right w:w="57" w:type="dxa"/>
          </w:tblCellMar>
        </w:tblPrEx>
        <w:trPr>
          <w:trHeight w:val="878"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7.1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是否授权评标委员会确定中标人</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否，评标委员会按评分从高到低推荐1-3名为中标候选人。</w:t>
            </w:r>
          </w:p>
        </w:tc>
      </w:tr>
      <w:tr>
        <w:tblPrEx>
          <w:tblCellMar>
            <w:top w:w="0" w:type="dxa"/>
            <w:left w:w="57" w:type="dxa"/>
            <w:bottom w:w="0" w:type="dxa"/>
            <w:right w:w="57" w:type="dxa"/>
          </w:tblCellMar>
        </w:tblPrEx>
        <w:trPr>
          <w:trHeight w:val="990" w:hRule="atLeast"/>
          <w:jc w:val="center"/>
        </w:trPr>
        <w:tc>
          <w:tcPr>
            <w:tcW w:w="918" w:type="dxa"/>
            <w:tcBorders>
              <w:top w:val="single" w:color="auto" w:sz="4" w:space="0"/>
              <w:left w:val="single" w:color="auto" w:sz="4" w:space="0"/>
              <w:bottom w:val="nil"/>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7.2</w:t>
            </w:r>
          </w:p>
        </w:tc>
        <w:tc>
          <w:tcPr>
            <w:tcW w:w="2210" w:type="dxa"/>
            <w:tcBorders>
              <w:top w:val="single" w:color="auto" w:sz="4" w:space="0"/>
              <w:left w:val="single" w:color="auto" w:sz="4" w:space="0"/>
              <w:bottom w:val="nil"/>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中标结果公示</w:t>
            </w:r>
          </w:p>
        </w:tc>
        <w:tc>
          <w:tcPr>
            <w:tcW w:w="6524" w:type="dxa"/>
            <w:tcBorders>
              <w:top w:val="single" w:color="auto" w:sz="4" w:space="0"/>
              <w:left w:val="single" w:color="auto" w:sz="4" w:space="0"/>
              <w:bottom w:val="nil"/>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中标通知书发出前，招标人将中标候选人的情况在本招标项目招标公告发布的同一媒介予以公示3日。</w:t>
            </w:r>
          </w:p>
        </w:tc>
      </w:tr>
      <w:tr>
        <w:tblPrEx>
          <w:tblCellMar>
            <w:top w:w="0" w:type="dxa"/>
            <w:left w:w="57" w:type="dxa"/>
            <w:bottom w:w="0" w:type="dxa"/>
            <w:right w:w="57" w:type="dxa"/>
          </w:tblCellMar>
        </w:tblPrEx>
        <w:trPr>
          <w:trHeight w:val="491"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发出中标通知书</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中标公示结束且无投标单位质疑（由招标代理机构发放给中标人）</w:t>
            </w:r>
          </w:p>
        </w:tc>
      </w:tr>
      <w:tr>
        <w:tblPrEx>
          <w:tblCellMar>
            <w:top w:w="0" w:type="dxa"/>
            <w:left w:w="57" w:type="dxa"/>
            <w:bottom w:w="0" w:type="dxa"/>
            <w:right w:w="57" w:type="dxa"/>
          </w:tblCellMar>
        </w:tblPrEx>
        <w:trPr>
          <w:trHeight w:val="36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合同签订</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中标通知书发出之日起30日内，中标人与招标人或招标人指定单位签订合同。</w:t>
            </w:r>
          </w:p>
        </w:tc>
      </w:tr>
      <w:tr>
        <w:tblPrEx>
          <w:tblCellMar>
            <w:top w:w="0" w:type="dxa"/>
            <w:left w:w="57" w:type="dxa"/>
            <w:bottom w:w="0" w:type="dxa"/>
            <w:right w:w="57" w:type="dxa"/>
          </w:tblCellMar>
        </w:tblPrEx>
        <w:trPr>
          <w:trHeight w:val="44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10</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需要补充的其他内容</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无</w:t>
            </w:r>
          </w:p>
        </w:tc>
      </w:tr>
      <w:tr>
        <w:tblPrEx>
          <w:tblCellMar>
            <w:top w:w="0" w:type="dxa"/>
            <w:left w:w="57" w:type="dxa"/>
            <w:bottom w:w="0" w:type="dxa"/>
            <w:right w:w="57" w:type="dxa"/>
          </w:tblCellMar>
        </w:tblPrEx>
        <w:trPr>
          <w:trHeight w:val="563"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本项目采用</w:t>
            </w:r>
            <w:r>
              <w:rPr>
                <w:rFonts w:hint="eastAsia" w:ascii="宋体" w:hAnsi="宋体" w:eastAsia="宋体" w:cs="宋体"/>
                <w:color w:val="auto"/>
                <w:kern w:val="2"/>
                <w:sz w:val="24"/>
                <w:szCs w:val="24"/>
                <w:highlight w:val="none"/>
                <w:lang w:val="en-US" w:eastAsia="zh-CN"/>
              </w:rPr>
              <w:t>工程量清单报价</w:t>
            </w:r>
            <w:r>
              <w:rPr>
                <w:rFonts w:hint="eastAsia" w:ascii="宋体" w:hAnsi="宋体" w:eastAsia="宋体" w:cs="宋体"/>
                <w:color w:val="auto"/>
                <w:kern w:val="2"/>
                <w:sz w:val="24"/>
                <w:szCs w:val="24"/>
                <w:highlight w:val="none"/>
                <w:lang w:eastAsia="zh-CN"/>
              </w:rPr>
              <w:t>方式</w:t>
            </w:r>
            <w:r>
              <w:rPr>
                <w:rFonts w:hint="eastAsia" w:ascii="宋体" w:hAnsi="宋体" w:eastAsia="宋体" w:cs="宋体"/>
                <w:color w:val="auto"/>
                <w:kern w:val="2"/>
                <w:sz w:val="24"/>
                <w:szCs w:val="24"/>
                <w:highlight w:val="none"/>
                <w:lang w:val="en-US" w:eastAsia="zh-CN"/>
              </w:rPr>
              <w:t>，</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包含并不限于：人工费、材料费、施工机具及机械使用费、运输、安全文明施工费用、临设费、机械进出场、材料倒运、成品保护费、试验费、检验检测费、施工现场配合费、其它组织措施费、企业管理费、利润、规费、税金、风险费用、质量保修费等全部费用。</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签约合同为固定综合单价合同。</w:t>
            </w:r>
          </w:p>
        </w:tc>
      </w:tr>
      <w:tr>
        <w:tblPrEx>
          <w:tblCellMar>
            <w:top w:w="0" w:type="dxa"/>
            <w:left w:w="57" w:type="dxa"/>
            <w:bottom w:w="0" w:type="dxa"/>
            <w:right w:w="57" w:type="dxa"/>
          </w:tblCellMar>
        </w:tblPrEx>
        <w:trPr>
          <w:trHeight w:val="1943"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招标控制价</w:t>
            </w:r>
          </w:p>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含</w:t>
            </w:r>
            <w:r>
              <w:rPr>
                <w:rFonts w:hint="eastAsia" w:cs="宋体"/>
                <w:color w:val="auto"/>
                <w:kern w:val="2"/>
                <w:sz w:val="24"/>
                <w:szCs w:val="24"/>
                <w:highlight w:val="none"/>
                <w:lang w:val="en-US" w:eastAsia="zh-CN"/>
              </w:rPr>
              <w:t>专用增值税9%</w:t>
            </w:r>
            <w:r>
              <w:rPr>
                <w:rFonts w:hint="eastAsia" w:ascii="宋体" w:hAnsi="宋体" w:eastAsia="宋体" w:cs="宋体"/>
                <w:color w:val="auto"/>
                <w:kern w:val="2"/>
                <w:sz w:val="24"/>
                <w:szCs w:val="24"/>
                <w:highlight w:val="none"/>
                <w:lang w:eastAsia="zh-CN"/>
              </w:rPr>
              <w:t>）</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大写：伍佰伍拾万零伍仟柒佰叁拾陆元玖角伍分，小写：5505736.95元，其中暂列金50万元。</w:t>
            </w:r>
          </w:p>
          <w:p>
            <w:pPr>
              <w:spacing w:line="440" w:lineRule="exact"/>
              <w:jc w:val="left"/>
              <w:rPr>
                <w:rFonts w:hint="default" w:ascii="宋体" w:hAnsi="宋体" w:eastAsia="宋体" w:cs="宋体"/>
                <w:color w:val="auto"/>
                <w:kern w:val="2"/>
                <w:sz w:val="24"/>
                <w:szCs w:val="24"/>
                <w:highlight w:val="none"/>
                <w:lang w:val="en-US" w:eastAsia="zh-CN"/>
              </w:rPr>
            </w:pPr>
            <w:r>
              <w:rPr>
                <w:rFonts w:hint="eastAsia" w:ascii="宋体" w:hAnsi="宋体" w:eastAsia="宋体" w:cs="Times New Roman"/>
                <w:sz w:val="24"/>
                <w:szCs w:val="20"/>
                <w:highlight w:val="none"/>
                <w:lang w:val="zh-CN"/>
              </w:rPr>
              <w:t>超过</w:t>
            </w:r>
            <w:r>
              <w:rPr>
                <w:rFonts w:hint="eastAsia" w:cs="Times New Roman"/>
                <w:sz w:val="24"/>
                <w:szCs w:val="20"/>
                <w:highlight w:val="none"/>
                <w:lang w:val="en-US" w:eastAsia="zh-CN"/>
              </w:rPr>
              <w:t>招标</w:t>
            </w:r>
            <w:r>
              <w:rPr>
                <w:rFonts w:hint="eastAsia" w:ascii="宋体" w:hAnsi="宋体" w:eastAsia="宋体" w:cs="Times New Roman"/>
                <w:sz w:val="24"/>
                <w:szCs w:val="20"/>
                <w:highlight w:val="none"/>
                <w:lang w:val="zh-CN"/>
              </w:rPr>
              <w:t>控制价的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lang w:val="zh-CN"/>
              </w:rPr>
              <w:t>文件将予以否决。</w:t>
            </w:r>
          </w:p>
        </w:tc>
      </w:tr>
      <w:tr>
        <w:tblPrEx>
          <w:tblCellMar>
            <w:top w:w="0" w:type="dxa"/>
            <w:left w:w="57" w:type="dxa"/>
            <w:bottom w:w="0" w:type="dxa"/>
            <w:right w:w="57" w:type="dxa"/>
          </w:tblCellMar>
        </w:tblPrEx>
        <w:trPr>
          <w:trHeight w:val="504"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确定中标人</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每个标段评标委员会推荐1-3名中标候选人。</w:t>
            </w:r>
          </w:p>
        </w:tc>
      </w:tr>
      <w:tr>
        <w:tblPrEx>
          <w:tblCellMar>
            <w:top w:w="0" w:type="dxa"/>
            <w:left w:w="57" w:type="dxa"/>
            <w:bottom w:w="0" w:type="dxa"/>
            <w:right w:w="57" w:type="dxa"/>
          </w:tblCellMar>
        </w:tblPrEx>
        <w:trPr>
          <w:trHeight w:val="5179"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服务费收取</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应承担所有投标费用。依据原国家发展计划委员会(计价格[2002]1980号)《招标代理服务收费管理暂行办法》及国家发改委办公厅发布的发改办价格[2003]857号关于《招标代理服务收费有关问题的通知》和投资集团采购代理机构入围项目采购代理服务框架协议约定，招标代理服务费按照以下收取：</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1：中标(成交)金额在200万(含)及以下：按国家标准的 74 %收取；</w:t>
            </w:r>
          </w:p>
          <w:p>
            <w:pPr>
              <w:spacing w:line="40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2：中标(成交)金额在200万至600万(含)：按国家标准的 69 %收取；</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3：中标(成交)金额在600万以上：按国家标准的 64 %收取。</w:t>
            </w:r>
          </w:p>
        </w:tc>
      </w:tr>
      <w:tr>
        <w:tblPrEx>
          <w:tblCellMar>
            <w:top w:w="0" w:type="dxa"/>
            <w:left w:w="57" w:type="dxa"/>
            <w:bottom w:w="0" w:type="dxa"/>
            <w:right w:w="57" w:type="dxa"/>
          </w:tblCellMar>
        </w:tblPrEx>
        <w:trPr>
          <w:trHeight w:val="6431"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15</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履约担保</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履约担保的金额：签约合同价的</w:t>
            </w:r>
            <w:r>
              <w:rPr>
                <w:rFonts w:hint="eastAsia" w:ascii="宋体" w:hAnsi="宋体" w:eastAsia="宋体" w:cs="宋体"/>
                <w:color w:val="auto"/>
                <w:kern w:val="2"/>
                <w:sz w:val="24"/>
                <w:szCs w:val="24"/>
                <w:highlight w:val="none"/>
                <w:u w:val="single"/>
                <w:lang w:eastAsia="zh-CN"/>
              </w:rPr>
              <w:t>10</w:t>
            </w:r>
            <w:r>
              <w:rPr>
                <w:rFonts w:hint="eastAsia" w:ascii="宋体" w:hAnsi="宋体" w:eastAsia="宋体" w:cs="宋体"/>
                <w:color w:val="auto"/>
                <w:kern w:val="2"/>
                <w:sz w:val="24"/>
                <w:szCs w:val="24"/>
                <w:highlight w:val="none"/>
                <w:lang w:eastAsia="zh-CN"/>
              </w:rPr>
              <w:t>%。</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履约担保形式：</w:t>
            </w:r>
            <w:bookmarkStart w:id="29" w:name="_Hlk79141911"/>
            <w:r>
              <w:rPr>
                <w:rFonts w:hint="eastAsia" w:ascii="宋体" w:hAnsi="宋体" w:eastAsia="宋体" w:cs="宋体"/>
                <w:color w:val="auto"/>
                <w:kern w:val="2"/>
                <w:sz w:val="24"/>
                <w:szCs w:val="24"/>
                <w:highlight w:val="none"/>
                <w:lang w:eastAsia="zh-CN"/>
              </w:rPr>
              <w:t>银行出具的履约保函或现金转账</w:t>
            </w:r>
            <w:bookmarkEnd w:id="29"/>
            <w:r>
              <w:rPr>
                <w:rFonts w:hint="eastAsia" w:ascii="宋体" w:hAnsi="宋体" w:eastAsia="宋体" w:cs="宋体"/>
                <w:color w:val="auto"/>
                <w:kern w:val="2"/>
                <w:sz w:val="24"/>
                <w:szCs w:val="24"/>
                <w:highlight w:val="none"/>
                <w:lang w:eastAsia="zh-CN"/>
              </w:rPr>
              <w:t>，银行保函应由具有开保函资格和所需额度的信誉良好的五大国有银行（中、农、工、建、交）、全国性股份制银行（招商、兴业、浦发、民生、光大、平安）开具。</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履约担保的缴纳时间：合同签订前，中标人与招标人联系递交（从中标人基本账户转入招标人指定账户），但履约保函内容必须通过招标人确认，否则招标人可以拒收，并视为中标人违约。</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履约担保的期限：应保证超过合同项下全部工程完工且经招标人竣工验收合格后。</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履约保证金的退还：合同项下全部工程竣工验收通过且结清相关违约金后无息退还。</w:t>
            </w:r>
          </w:p>
        </w:tc>
      </w:tr>
      <w:tr>
        <w:tblPrEx>
          <w:tblCellMar>
            <w:top w:w="0" w:type="dxa"/>
            <w:left w:w="57" w:type="dxa"/>
            <w:bottom w:w="0" w:type="dxa"/>
            <w:right w:w="57" w:type="dxa"/>
          </w:tblCellMar>
        </w:tblPrEx>
        <w:trPr>
          <w:trHeight w:val="370"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电子招投标要求</w:t>
            </w:r>
          </w:p>
        </w:tc>
        <w:tc>
          <w:tcPr>
            <w:tcW w:w="6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电子招投标要求：</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 1 \* GB3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①</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本招标项目通过中原招标采购交易平台（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"http://zb.hnicwx.com/"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eastAsia="zh-CN"/>
              </w:rPr>
              <w:t>http://www.zybtp.com/</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）进行全电子化招投标。投标人应登录中原招标采购交易平台进行电子注册、经审核成为河南投资集团供应商库正式会员、办理CA数字认证证书后，方能参与投标活动。</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②本招标项目报名审查通过的投标人，使用CA数字证书登录中原招标采购交易平台，下载电子招标文件，按照“中原招标采购交易平台投标文件制作系统”（以下简称制作系统）制作、导出电子投标文件。</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③投标文件包括电子投标文件，中标人的纸质投标文件作为备案与存档，均应在投标截止时间前按要求加密上传/递交，点击“签到”结束。</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④电子投标文件中的企业证照、授权书、业绩、荣誉等资质扫描文件，投标人应合理设置图片大小，保证投标文件总容量不至于过大，避免影响顺利上传</w:t>
            </w:r>
            <w:r>
              <w:rPr>
                <w:rFonts w:hint="eastAsia" w:cs="宋体"/>
                <w:color w:val="auto"/>
                <w:kern w:val="2"/>
                <w:sz w:val="24"/>
                <w:szCs w:val="24"/>
                <w:highlight w:val="none"/>
                <w:lang w:eastAsia="zh-CN"/>
              </w:rPr>
              <w:t>。</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⑤由于投标人原因，未按要求制作、上传、加密电子投标文件，造成投标或开标失败的，责任由投标人承担。</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⑥请按照中原招标采购交易平台网站中的“使用指南”进行操作，遇到问题可拨打网站上的技术服务电话进行咨询。</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⑦逾期提交的或者未提交指定载体/地点的投标文件，招标人不予受理。</w:t>
            </w:r>
          </w:p>
          <w:p>
            <w:pPr>
              <w:spacing w:line="4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⑧开标时，被授权人必须通过CA数字证书（电子钥匙）登陆招标平台，按照开标程序进行解密。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9652" w:type="dxa"/>
            <w:gridSpan w:val="3"/>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p>
            <w:pPr>
              <w:pStyle w:val="1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1.本招标文件解释权归采购人所有。不论中标与否，投标单位投标文件均不退还。</w:t>
            </w:r>
          </w:p>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2.本次招标为附条件招标。若招标人中标成为项目承包单位，则本次招标合同生效，履行合同；若招标人未中标成为承包单位，则招标人与中标人签订的合同不生效，合同不再履行，招标人、中标人各自承担因此发生的相应费用，互不追究责任。</w:t>
            </w:r>
          </w:p>
        </w:tc>
      </w:tr>
    </w:tbl>
    <w:p>
      <w:pPr>
        <w:jc w:val="center"/>
        <w:rPr>
          <w:rFonts w:hint="eastAsia" w:ascii="宋体" w:hAnsi="宋体" w:eastAsia="宋体" w:cs="宋体"/>
          <w:color w:val="auto"/>
          <w:sz w:val="24"/>
          <w:szCs w:val="24"/>
          <w:highlight w:val="none"/>
          <w:lang w:eastAsia="zh-CN"/>
        </w:rPr>
        <w:sectPr>
          <w:pgSz w:w="11907" w:h="16840"/>
          <w:pgMar w:top="1440" w:right="1100" w:bottom="1060" w:left="1580" w:header="0" w:footer="861" w:gutter="0"/>
          <w:pgNumType w:fmt="decimal"/>
          <w:cols w:space="720" w:num="1"/>
        </w:sectPr>
      </w:pPr>
    </w:p>
    <w:p>
      <w:pPr>
        <w:pStyle w:val="2"/>
        <w:jc w:val="left"/>
        <w:rPr>
          <w:rFonts w:hint="eastAsia" w:ascii="宋体" w:hAnsi="宋体" w:eastAsia="宋体" w:cs="宋体"/>
          <w:color w:val="auto"/>
          <w:sz w:val="24"/>
          <w:szCs w:val="24"/>
          <w:highlight w:val="none"/>
          <w:lang w:eastAsia="zh-CN"/>
        </w:rPr>
      </w:pPr>
      <w:bookmarkStart w:id="30" w:name="_Toc6606"/>
      <w:bookmarkStart w:id="31" w:name="_Toc8135"/>
      <w:bookmarkStart w:id="32" w:name="_Toc14411_WPSOffice_Level2"/>
      <w:bookmarkStart w:id="33" w:name="_Toc9413"/>
      <w:bookmarkStart w:id="34" w:name="_Toc531_WPSOffice_Level2"/>
      <w:r>
        <w:rPr>
          <w:rFonts w:hint="eastAsia" w:ascii="宋体" w:hAnsi="宋体" w:eastAsia="宋体" w:cs="宋体"/>
          <w:color w:val="auto"/>
          <w:sz w:val="24"/>
          <w:szCs w:val="24"/>
          <w:highlight w:val="none"/>
          <w:lang w:eastAsia="zh-CN"/>
        </w:rPr>
        <w:t>1. 总则</w:t>
      </w:r>
      <w:bookmarkEnd w:id="30"/>
      <w:bookmarkEnd w:id="31"/>
      <w:bookmarkEnd w:id="32"/>
      <w:bookmarkEnd w:id="33"/>
      <w:bookmarkEnd w:id="34"/>
    </w:p>
    <w:p>
      <w:pPr>
        <w:pStyle w:val="4"/>
        <w:rPr>
          <w:rFonts w:hint="eastAsia" w:ascii="宋体" w:hAnsi="宋体" w:eastAsia="宋体" w:cs="宋体"/>
          <w:color w:val="auto"/>
          <w:sz w:val="24"/>
          <w:szCs w:val="24"/>
          <w:highlight w:val="none"/>
        </w:rPr>
      </w:pPr>
      <w:bookmarkStart w:id="35" w:name="_Toc27081"/>
      <w:bookmarkStart w:id="36" w:name="_Toc511220625"/>
      <w:bookmarkStart w:id="37" w:name="_Toc511219741"/>
      <w:bookmarkStart w:id="38" w:name="_Toc7120"/>
      <w:r>
        <w:rPr>
          <w:rFonts w:hint="eastAsia" w:ascii="宋体" w:hAnsi="宋体" w:eastAsia="宋体" w:cs="宋体"/>
          <w:color w:val="auto"/>
          <w:sz w:val="24"/>
          <w:szCs w:val="24"/>
          <w:highlight w:val="none"/>
        </w:rPr>
        <w:t>1.1 项目概况</w:t>
      </w:r>
      <w:bookmarkEnd w:id="35"/>
      <w:bookmarkEnd w:id="36"/>
      <w:bookmarkEnd w:id="37"/>
      <w:bookmarkEnd w:id="38"/>
    </w:p>
    <w:p>
      <w:pPr>
        <w:spacing w:line="360" w:lineRule="auto"/>
        <w:ind w:firstLine="480" w:firstLineChars="200"/>
        <w:rPr>
          <w:rFonts w:hint="eastAsia" w:ascii="宋体" w:hAnsi="宋体" w:eastAsia="宋体" w:cs="宋体"/>
          <w:color w:val="auto"/>
          <w:sz w:val="24"/>
          <w:szCs w:val="24"/>
          <w:highlight w:val="none"/>
          <w:lang w:eastAsia="zh-CN"/>
        </w:rPr>
      </w:pPr>
      <w:bookmarkStart w:id="39" w:name="_Toc144974499"/>
      <w:bookmarkStart w:id="40" w:name="_Toc152045531"/>
      <w:bookmarkStart w:id="41" w:name="_Toc179632548"/>
      <w:bookmarkStart w:id="42" w:name="_Toc152042307"/>
      <w:r>
        <w:rPr>
          <w:rFonts w:hint="eastAsia" w:ascii="宋体" w:hAnsi="宋体" w:eastAsia="宋体" w:cs="宋体"/>
          <w:color w:val="auto"/>
          <w:sz w:val="24"/>
          <w:szCs w:val="24"/>
          <w:highlight w:val="none"/>
          <w:lang w:eastAsia="zh-CN"/>
        </w:rPr>
        <w:t>1.1.1 根据《中华人民共和国招标投标法》等有关法律、法规和规章的规定，本招标项目已具备招标条件，现对本项目进行招标。</w:t>
      </w:r>
    </w:p>
    <w:bookmarkEnd w:id="39"/>
    <w:bookmarkEnd w:id="40"/>
    <w:bookmarkEnd w:id="41"/>
    <w:bookmarkEnd w:id="42"/>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 招标人：见投标人须知前附表。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 招标代理机构：见投标人须知前附表。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 项目名称：</w:t>
      </w:r>
      <w:bookmarkStart w:id="43" w:name="_Toc144974500"/>
      <w:bookmarkStart w:id="44" w:name="_Toc152045532"/>
      <w:bookmarkStart w:id="45" w:name="_Toc152042308"/>
      <w:bookmarkStart w:id="46" w:name="_Toc179632549"/>
      <w:r>
        <w:rPr>
          <w:rFonts w:hint="eastAsia" w:ascii="宋体" w:hAnsi="宋体" w:eastAsia="宋体" w:cs="宋体"/>
          <w:color w:val="auto"/>
          <w:sz w:val="24"/>
          <w:szCs w:val="24"/>
          <w:highlight w:val="none"/>
          <w:lang w:eastAsia="zh-CN"/>
        </w:rPr>
        <w:t>见投标人须知前附表。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 建设地点：见投标人须知前附表。</w:t>
      </w:r>
    </w:p>
    <w:bookmarkEnd w:id="43"/>
    <w:bookmarkEnd w:id="44"/>
    <w:bookmarkEnd w:id="45"/>
    <w:bookmarkEnd w:id="46"/>
    <w:p>
      <w:pPr>
        <w:pStyle w:val="4"/>
        <w:rPr>
          <w:rFonts w:hint="eastAsia" w:ascii="宋体" w:hAnsi="宋体" w:eastAsia="宋体" w:cs="宋体"/>
          <w:color w:val="auto"/>
          <w:sz w:val="24"/>
          <w:szCs w:val="24"/>
          <w:highlight w:val="none"/>
        </w:rPr>
      </w:pPr>
      <w:bookmarkStart w:id="47" w:name="_Toc5893"/>
      <w:bookmarkStart w:id="48" w:name="_Toc511220626"/>
      <w:bookmarkStart w:id="49" w:name="_Toc15735"/>
      <w:bookmarkStart w:id="50" w:name="_Toc511219742"/>
      <w:r>
        <w:rPr>
          <w:rFonts w:hint="eastAsia" w:ascii="宋体" w:hAnsi="宋体" w:eastAsia="宋体" w:cs="宋体"/>
          <w:color w:val="auto"/>
          <w:sz w:val="24"/>
          <w:szCs w:val="24"/>
          <w:highlight w:val="none"/>
        </w:rPr>
        <w:t>1.2 资金来源和落实情况</w:t>
      </w:r>
      <w:bookmarkEnd w:id="47"/>
      <w:bookmarkEnd w:id="48"/>
      <w:bookmarkEnd w:id="49"/>
      <w:bookmarkEnd w:id="50"/>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本招标项目的资金来源：见投标人须知前附表。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1.2.3 本招标项目的资金落实情况：见投标人须知前附表。</w:t>
      </w:r>
    </w:p>
    <w:p>
      <w:pPr>
        <w:pStyle w:val="4"/>
        <w:rPr>
          <w:rFonts w:hint="eastAsia" w:ascii="宋体" w:hAnsi="宋体" w:eastAsia="宋体" w:cs="宋体"/>
          <w:color w:val="auto"/>
          <w:sz w:val="24"/>
          <w:szCs w:val="24"/>
          <w:highlight w:val="none"/>
        </w:rPr>
      </w:pPr>
      <w:bookmarkStart w:id="51" w:name="_Toc511220627"/>
      <w:bookmarkStart w:id="52" w:name="_Toc511219743"/>
      <w:bookmarkStart w:id="53" w:name="_Toc13355"/>
      <w:bookmarkStart w:id="54" w:name="_Toc3621"/>
      <w:r>
        <w:rPr>
          <w:rFonts w:hint="eastAsia" w:ascii="宋体" w:hAnsi="宋体" w:eastAsia="宋体" w:cs="宋体"/>
          <w:color w:val="auto"/>
          <w:sz w:val="24"/>
          <w:szCs w:val="24"/>
          <w:highlight w:val="none"/>
        </w:rPr>
        <w:t>1.3 本次招标范围、计划工期及质量要求</w:t>
      </w:r>
      <w:bookmarkEnd w:id="51"/>
      <w:bookmarkEnd w:id="52"/>
      <w:bookmarkEnd w:id="53"/>
      <w:bookmarkEnd w:id="54"/>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招标范围：见投标人须知前附表。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1.3.2本工程的计划工期：见投标人须知前附表。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1.3.3本工程的质量要求：见投标人须知前附表。</w:t>
      </w:r>
    </w:p>
    <w:p>
      <w:pPr>
        <w:pStyle w:val="4"/>
        <w:rPr>
          <w:rFonts w:hint="eastAsia" w:ascii="宋体" w:hAnsi="宋体" w:eastAsia="宋体" w:cs="宋体"/>
          <w:color w:val="auto"/>
          <w:sz w:val="24"/>
          <w:szCs w:val="24"/>
          <w:highlight w:val="none"/>
        </w:rPr>
      </w:pPr>
      <w:bookmarkStart w:id="55" w:name="_Toc4409"/>
      <w:bookmarkStart w:id="56" w:name="_Toc511220628"/>
      <w:bookmarkStart w:id="57" w:name="_Toc511219744"/>
      <w:bookmarkStart w:id="58" w:name="_Toc9797"/>
      <w:r>
        <w:rPr>
          <w:rFonts w:hint="eastAsia" w:ascii="宋体" w:hAnsi="宋体" w:eastAsia="宋体" w:cs="宋体"/>
          <w:color w:val="auto"/>
          <w:sz w:val="24"/>
          <w:szCs w:val="24"/>
          <w:highlight w:val="none"/>
        </w:rPr>
        <w:t>1.4 投标人资格要求</w:t>
      </w:r>
      <w:bookmarkEnd w:id="55"/>
      <w:bookmarkEnd w:id="56"/>
      <w:bookmarkEnd w:id="57"/>
      <w:bookmarkEnd w:id="58"/>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1.4.1投标人须满足以下资格要求</w:t>
      </w:r>
      <w:bookmarkStart w:id="59" w:name="_Toc294694961"/>
      <w:r>
        <w:rPr>
          <w:rFonts w:hint="eastAsia" w:ascii="宋体" w:hAnsi="宋体" w:eastAsia="宋体" w:cs="宋体"/>
          <w:color w:val="auto"/>
          <w:sz w:val="24"/>
          <w:szCs w:val="24"/>
          <w:highlight w:val="none"/>
          <w:lang w:eastAsia="zh-CN"/>
        </w:rPr>
        <w:t>：见招标公告第3条“投标人资格要求”。</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 投标单位不得存在下列情形之一</w:t>
      </w:r>
    </w:p>
    <w:bookmarkEnd w:id="59"/>
    <w:p>
      <w:pPr>
        <w:spacing w:line="360" w:lineRule="auto"/>
        <w:ind w:firstLine="480" w:firstLineChars="200"/>
        <w:rPr>
          <w:rFonts w:hint="eastAsia" w:ascii="宋体" w:hAnsi="宋体" w:eastAsia="宋体" w:cs="宋体"/>
          <w:color w:val="auto"/>
          <w:sz w:val="24"/>
          <w:szCs w:val="24"/>
          <w:highlight w:val="none"/>
          <w:lang w:eastAsia="zh-CN"/>
        </w:rPr>
      </w:pPr>
      <w:bookmarkStart w:id="60" w:name="_Toc179632555"/>
      <w:bookmarkStart w:id="61" w:name="_Toc152042314"/>
      <w:bookmarkStart w:id="62" w:name="_Toc294694962"/>
      <w:bookmarkStart w:id="63" w:name="_Toc144974506"/>
      <w:bookmarkStart w:id="64" w:name="_Toc152045538"/>
      <w:r>
        <w:rPr>
          <w:rFonts w:hint="eastAsia" w:ascii="宋体" w:hAnsi="宋体" w:eastAsia="宋体" w:cs="宋体"/>
          <w:color w:val="auto"/>
          <w:sz w:val="24"/>
          <w:szCs w:val="24"/>
          <w:highlight w:val="none"/>
          <w:lang w:eastAsia="zh-CN"/>
        </w:rPr>
        <w:t>(1)为招标人不具有独立法人资格的附属机构（单位）；</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(2)为本项目前期准备提供设计或咨询服务的，但设计施工总承包的除外；</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(3)为本项目的监理人；</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(4)为本项目提供招标代理服务的；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(5)与本项目的监理人或招标代理机构同为一个法定代表人的；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(6)与本项目的监理人或招标代理机构相互控股或参股的；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(7)与本项目的监理人或招标代理机构相互任职或工作的；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(8)被责令停业的；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(9)被暂停或取消投标资格的；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(10)财产被接管或冻结的；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(11)在最近三年内有骗取中标或严重违约或重大工程质量问题的；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(12)法人、其他组织或者个人与招标人存在利害关系可能影响招标公正性的；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(13)法律法规规定的其他情形。</w:t>
      </w:r>
    </w:p>
    <w:p>
      <w:pPr>
        <w:pStyle w:val="4"/>
        <w:rPr>
          <w:rFonts w:hint="eastAsia" w:ascii="宋体" w:hAnsi="宋体" w:eastAsia="宋体" w:cs="宋体"/>
          <w:color w:val="auto"/>
          <w:sz w:val="24"/>
          <w:szCs w:val="24"/>
          <w:highlight w:val="none"/>
        </w:rPr>
      </w:pPr>
      <w:bookmarkStart w:id="65" w:name="_Toc511220629"/>
      <w:bookmarkStart w:id="66" w:name="_Toc511219745"/>
      <w:bookmarkStart w:id="67" w:name="_Toc20931"/>
      <w:bookmarkStart w:id="68" w:name="_Toc24533"/>
      <w:r>
        <w:rPr>
          <w:rFonts w:hint="eastAsia" w:ascii="宋体" w:hAnsi="宋体" w:eastAsia="宋体" w:cs="宋体"/>
          <w:color w:val="auto"/>
          <w:sz w:val="24"/>
          <w:szCs w:val="24"/>
          <w:highlight w:val="none"/>
        </w:rPr>
        <w:t>1.5投标过程中的费用</w:t>
      </w:r>
      <w:bookmarkEnd w:id="65"/>
      <w:bookmarkEnd w:id="66"/>
      <w:bookmarkEnd w:id="67"/>
      <w:bookmarkEnd w:id="68"/>
    </w:p>
    <w:p>
      <w:pPr>
        <w:spacing w:line="360" w:lineRule="auto"/>
        <w:ind w:firstLine="480" w:firstLineChars="200"/>
        <w:rPr>
          <w:rFonts w:hint="eastAsia" w:ascii="宋体" w:hAnsi="宋体" w:eastAsia="宋体" w:cs="宋体"/>
          <w:color w:val="auto"/>
          <w:sz w:val="24"/>
          <w:szCs w:val="24"/>
          <w:highlight w:val="none"/>
          <w:lang w:eastAsia="zh-CN"/>
        </w:rPr>
      </w:pPr>
      <w:bookmarkStart w:id="69" w:name="_Toc40854920"/>
      <w:bookmarkStart w:id="70" w:name="_Toc56937787"/>
      <w:bookmarkStart w:id="71" w:name="_Toc41382534"/>
      <w:r>
        <w:rPr>
          <w:rFonts w:hint="eastAsia" w:ascii="宋体" w:hAnsi="宋体" w:eastAsia="宋体" w:cs="宋体"/>
          <w:color w:val="auto"/>
          <w:sz w:val="24"/>
          <w:szCs w:val="24"/>
          <w:highlight w:val="none"/>
          <w:lang w:eastAsia="zh-CN"/>
        </w:rPr>
        <w:t>投标单位在投标活动中的有关准备工作、现场踏勘、编制和递交投标文件等所发生的一切费用均由投标单位自行负责，无论招标过程的处理方式和最后中标结果如何，招标人对投标单位不承担任何费用。</w:t>
      </w:r>
    </w:p>
    <w:bookmarkEnd w:id="60"/>
    <w:bookmarkEnd w:id="61"/>
    <w:bookmarkEnd w:id="62"/>
    <w:bookmarkEnd w:id="63"/>
    <w:bookmarkEnd w:id="64"/>
    <w:bookmarkEnd w:id="69"/>
    <w:bookmarkEnd w:id="70"/>
    <w:bookmarkEnd w:id="71"/>
    <w:p>
      <w:pPr>
        <w:pStyle w:val="4"/>
        <w:rPr>
          <w:rFonts w:hint="eastAsia" w:ascii="宋体" w:hAnsi="宋体" w:eastAsia="宋体" w:cs="宋体"/>
          <w:color w:val="auto"/>
          <w:sz w:val="24"/>
          <w:szCs w:val="24"/>
          <w:highlight w:val="none"/>
        </w:rPr>
      </w:pPr>
      <w:bookmarkStart w:id="72" w:name="_Toc18364"/>
      <w:bookmarkStart w:id="73" w:name="_Toc31683_WPSOffice_Level2"/>
      <w:bookmarkStart w:id="74" w:name="_Toc31765_WPSOffice_Level2"/>
      <w:bookmarkStart w:id="75" w:name="_Toc19504"/>
      <w:r>
        <w:rPr>
          <w:rFonts w:hint="eastAsia" w:ascii="宋体" w:hAnsi="宋体" w:eastAsia="宋体" w:cs="宋体"/>
          <w:color w:val="auto"/>
          <w:sz w:val="24"/>
          <w:szCs w:val="24"/>
          <w:highlight w:val="none"/>
        </w:rPr>
        <w:t>1.6 保密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参与招标投标活动的各方应对招标文件和投标文件中的商业和技术等秘密保密，违者应对由此造成的后果承担法律责任。</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语言文字</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除专用术语外，与招标投标有关的语言均使用中文。必要时专用术语应附有中文注释。</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计量单位</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所有计量均采用中华人民共和国法定计量单位。</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踏勘现场</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按投标人须知前附表规定。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 投标人踏勘现场发生的费用自理。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 除招标人的原因外，投标人自行负责在踏勘现场中所发生的人员伤亡和财产损失。</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 招标人在踏勘现场中介绍的工程场地和相关的周边环境情况，供投标人在编制投标文件时参考，招标人不对投标人据此作出的判断和决策负责。</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 投标人在招标答疑之前自行勘察现场或是否参加招标人组织的现场踏勘都应该知道现场的一切实际情况，招标人对此不承担任何责任。</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投标预备会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1.10.1 按投标人须知前附表规定。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1.10.2 投标人应在投标人须知前附表规定的时间前，以书面形式将提出的问题送达或传真至代理机构，以便招标人在会议期间澄清。</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1.10.3招标人在投标人须知前附表规定的时间内，将对投标人所提问题的澄清，以书面方式通知所有购买招标文件的投标人。该澄清内容为招标文件的组成部分。</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分包</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按投标人须知前附表规定。</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偏离</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按投标人须知前附表规定。</w:t>
      </w:r>
    </w:p>
    <w:p>
      <w:pPr>
        <w:pStyle w:val="2"/>
        <w:jc w:val="left"/>
        <w:rPr>
          <w:rFonts w:hint="eastAsia" w:ascii="宋体" w:hAnsi="宋体" w:eastAsia="宋体" w:cs="宋体"/>
          <w:color w:val="auto"/>
          <w:sz w:val="24"/>
          <w:szCs w:val="24"/>
          <w:highlight w:val="none"/>
          <w:lang w:eastAsia="zh-CN"/>
        </w:rPr>
      </w:pPr>
      <w:bookmarkStart w:id="76" w:name="_Toc8207"/>
      <w:r>
        <w:rPr>
          <w:rFonts w:hint="eastAsia" w:ascii="宋体" w:hAnsi="宋体" w:eastAsia="宋体" w:cs="宋体"/>
          <w:color w:val="auto"/>
          <w:sz w:val="24"/>
          <w:szCs w:val="24"/>
          <w:highlight w:val="none"/>
          <w:lang w:eastAsia="zh-CN"/>
        </w:rPr>
        <w:t>2. 招标文件</w:t>
      </w:r>
      <w:bookmarkEnd w:id="72"/>
      <w:bookmarkEnd w:id="73"/>
      <w:bookmarkEnd w:id="74"/>
      <w:bookmarkEnd w:id="75"/>
      <w:bookmarkEnd w:id="76"/>
    </w:p>
    <w:p>
      <w:pPr>
        <w:pStyle w:val="4"/>
        <w:rPr>
          <w:rFonts w:hint="eastAsia" w:ascii="宋体" w:hAnsi="宋体" w:eastAsia="宋体" w:cs="宋体"/>
          <w:color w:val="auto"/>
          <w:sz w:val="24"/>
          <w:szCs w:val="24"/>
          <w:highlight w:val="none"/>
        </w:rPr>
      </w:pPr>
      <w:bookmarkStart w:id="77" w:name="_Toc24546"/>
      <w:bookmarkStart w:id="78" w:name="_Toc15006"/>
      <w:r>
        <w:rPr>
          <w:rFonts w:hint="eastAsia" w:ascii="宋体" w:hAnsi="宋体" w:eastAsia="宋体" w:cs="宋体"/>
          <w:color w:val="auto"/>
          <w:sz w:val="24"/>
          <w:szCs w:val="24"/>
          <w:highlight w:val="none"/>
        </w:rPr>
        <w:t>2.1 招标文件的组成</w:t>
      </w:r>
      <w:bookmarkEnd w:id="77"/>
      <w:bookmarkEnd w:id="78"/>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本招标文件包括：</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（1）招标公告；</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（2）投标人须知；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（3）评标办法；</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（4）拟签订的合同条款及格式；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（5）技术标准及要求；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（6）工程量清单；</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）投标文件格式。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根据本章相关条款对招标文件所作的澄清、修改，构成招标文件的组成部分。</w:t>
      </w:r>
    </w:p>
    <w:p>
      <w:pPr>
        <w:pStyle w:val="4"/>
        <w:rPr>
          <w:rFonts w:hint="eastAsia" w:ascii="宋体" w:hAnsi="宋体" w:eastAsia="宋体" w:cs="宋体"/>
          <w:color w:val="auto"/>
          <w:sz w:val="24"/>
          <w:szCs w:val="24"/>
          <w:highlight w:val="none"/>
        </w:rPr>
      </w:pPr>
      <w:bookmarkStart w:id="79" w:name="_Toc12064"/>
      <w:bookmarkStart w:id="80" w:name="_Toc511220640"/>
      <w:bookmarkStart w:id="81" w:name="_Toc18096"/>
      <w:bookmarkStart w:id="82" w:name="_Toc511219756"/>
      <w:r>
        <w:rPr>
          <w:rFonts w:hint="eastAsia" w:ascii="宋体" w:hAnsi="宋体" w:eastAsia="宋体" w:cs="宋体"/>
          <w:color w:val="auto"/>
          <w:sz w:val="24"/>
          <w:szCs w:val="24"/>
          <w:highlight w:val="none"/>
        </w:rPr>
        <w:t>2.2 招标文件的澄清</w:t>
      </w:r>
      <w:bookmarkEnd w:id="79"/>
      <w:bookmarkEnd w:id="80"/>
      <w:bookmarkEnd w:id="81"/>
      <w:bookmarkEnd w:id="82"/>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 招标文件的澄清将在开标时间的15天前以书面形式发给所有购买招标文件的投标人，但不指明澄清问题的来源。</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投标人在收到澄清后，应在收到招标人书面澄清文件24小时内以书面形式通知招标人，确认已收到该澄清。</w:t>
      </w:r>
    </w:p>
    <w:p>
      <w:pPr>
        <w:pStyle w:val="4"/>
        <w:rPr>
          <w:rFonts w:hint="eastAsia" w:ascii="宋体" w:hAnsi="宋体" w:eastAsia="宋体" w:cs="宋体"/>
          <w:color w:val="auto"/>
          <w:sz w:val="24"/>
          <w:szCs w:val="24"/>
          <w:highlight w:val="none"/>
        </w:rPr>
      </w:pPr>
      <w:bookmarkStart w:id="83" w:name="_Toc511219757"/>
      <w:bookmarkStart w:id="84" w:name="_Toc4229"/>
      <w:bookmarkStart w:id="85" w:name="_Toc29269"/>
      <w:bookmarkStart w:id="86" w:name="_Toc511220641"/>
      <w:r>
        <w:rPr>
          <w:rFonts w:hint="eastAsia" w:ascii="宋体" w:hAnsi="宋体" w:eastAsia="宋体" w:cs="宋体"/>
          <w:color w:val="auto"/>
          <w:sz w:val="24"/>
          <w:szCs w:val="24"/>
          <w:highlight w:val="none"/>
        </w:rPr>
        <w:t>2.3 招标文件的修改</w:t>
      </w:r>
      <w:bookmarkEnd w:id="83"/>
      <w:bookmarkEnd w:id="84"/>
      <w:bookmarkEnd w:id="85"/>
      <w:bookmarkEnd w:id="86"/>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在投标截止时间15天前，招标人可以书面形式修改招标文件，并通知所有已购买招标文件的投标人。</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投标人收到修改内容后，应在收到招标人书面修改文件24小时内以书面形式通知招标人，确认已收到该修改。</w:t>
      </w:r>
    </w:p>
    <w:p>
      <w:pPr>
        <w:pStyle w:val="4"/>
        <w:rPr>
          <w:rFonts w:hint="eastAsia" w:ascii="宋体" w:hAnsi="宋体" w:eastAsia="宋体" w:cs="宋体"/>
          <w:color w:val="auto"/>
          <w:sz w:val="24"/>
          <w:szCs w:val="24"/>
          <w:highlight w:val="none"/>
        </w:rPr>
      </w:pPr>
      <w:bookmarkStart w:id="87" w:name="_Toc15881"/>
      <w:bookmarkStart w:id="88" w:name="_Toc31846"/>
      <w:r>
        <w:rPr>
          <w:rFonts w:hint="eastAsia" w:ascii="宋体" w:hAnsi="宋体" w:eastAsia="宋体" w:cs="宋体"/>
          <w:color w:val="auto"/>
          <w:sz w:val="24"/>
          <w:szCs w:val="24"/>
          <w:highlight w:val="none"/>
        </w:rPr>
        <w:t>2.4 招标文件的效力</w:t>
      </w:r>
      <w:bookmarkEnd w:id="87"/>
      <w:bookmarkEnd w:id="88"/>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是工程招标和投标的有效依据，也是中标后签订承包合同的依据，同时也是合同的组成文件，对招投标双方均具有约束力。凡不遵守招标文件规定的投标或对招标文件的实质性内容不响应者，将被拒绝投标或以无效标处理。</w:t>
      </w:r>
    </w:p>
    <w:p>
      <w:pPr>
        <w:pStyle w:val="2"/>
        <w:jc w:val="left"/>
        <w:rPr>
          <w:rFonts w:hint="eastAsia" w:ascii="宋体" w:hAnsi="宋体" w:eastAsia="宋体" w:cs="宋体"/>
          <w:color w:val="auto"/>
          <w:sz w:val="24"/>
          <w:szCs w:val="24"/>
          <w:highlight w:val="none"/>
          <w:lang w:eastAsia="zh-CN"/>
        </w:rPr>
      </w:pPr>
      <w:bookmarkStart w:id="89" w:name="_Toc20553"/>
      <w:bookmarkStart w:id="90" w:name="_Toc19743_WPSOffice_Level2"/>
      <w:bookmarkStart w:id="91" w:name="_Toc10826_WPSOffice_Level2"/>
      <w:bookmarkStart w:id="92" w:name="_Toc29812"/>
      <w:bookmarkStart w:id="93" w:name="_Toc23405"/>
      <w:r>
        <w:rPr>
          <w:rFonts w:hint="eastAsia" w:ascii="宋体" w:hAnsi="宋体" w:eastAsia="宋体" w:cs="宋体"/>
          <w:color w:val="auto"/>
          <w:sz w:val="24"/>
          <w:szCs w:val="24"/>
          <w:highlight w:val="none"/>
          <w:lang w:eastAsia="zh-CN"/>
        </w:rPr>
        <w:t>3. 投标文件</w:t>
      </w:r>
      <w:bookmarkEnd w:id="89"/>
      <w:bookmarkEnd w:id="90"/>
      <w:bookmarkEnd w:id="91"/>
      <w:bookmarkEnd w:id="92"/>
      <w:bookmarkEnd w:id="93"/>
    </w:p>
    <w:p>
      <w:pPr>
        <w:pStyle w:val="4"/>
        <w:rPr>
          <w:rFonts w:hint="eastAsia" w:ascii="宋体" w:hAnsi="宋体" w:eastAsia="宋体" w:cs="宋体"/>
          <w:color w:val="auto"/>
          <w:sz w:val="24"/>
          <w:szCs w:val="24"/>
          <w:highlight w:val="none"/>
        </w:rPr>
      </w:pPr>
      <w:bookmarkStart w:id="94" w:name="_Toc30463"/>
      <w:bookmarkStart w:id="95" w:name="_Toc13388"/>
      <w:r>
        <w:rPr>
          <w:rFonts w:hint="eastAsia" w:ascii="宋体" w:hAnsi="宋体" w:eastAsia="宋体" w:cs="宋体"/>
          <w:color w:val="auto"/>
          <w:sz w:val="24"/>
          <w:szCs w:val="24"/>
          <w:highlight w:val="none"/>
        </w:rPr>
        <w:t>3.1 投标文件的组成</w:t>
      </w:r>
      <w:bookmarkEnd w:id="94"/>
      <w:bookmarkEnd w:id="95"/>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 投标文件应包括下列内容：</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一、投标函及投标函附录</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三、授权委托书</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四、投标保证金</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五、资格审查资料</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六、商务技术差异表</w:t>
      </w:r>
    </w:p>
    <w:p>
      <w:pPr>
        <w:pStyle w:val="3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七、已标价工程量清单</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八、施工组织设计</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九、廉洁承诺书</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十、其他材料</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投标人须知前附表规定的其他资料。投标人在评标过程中作出的符合法律法规和招标文件规定的澄清确认，构成投标文件的组成部分。</w:t>
      </w:r>
    </w:p>
    <w:p>
      <w:pPr>
        <w:pStyle w:val="4"/>
        <w:rPr>
          <w:rFonts w:hint="eastAsia" w:ascii="宋体" w:hAnsi="宋体" w:eastAsia="宋体" w:cs="宋体"/>
          <w:color w:val="auto"/>
          <w:sz w:val="24"/>
          <w:szCs w:val="24"/>
          <w:highlight w:val="none"/>
        </w:rPr>
      </w:pPr>
      <w:bookmarkStart w:id="96" w:name="_Toc31854"/>
      <w:bookmarkStart w:id="97" w:name="_Toc8430"/>
      <w:r>
        <w:rPr>
          <w:rFonts w:hint="eastAsia" w:ascii="宋体" w:hAnsi="宋体" w:eastAsia="宋体" w:cs="宋体"/>
          <w:color w:val="auto"/>
          <w:sz w:val="24"/>
          <w:szCs w:val="24"/>
          <w:highlight w:val="none"/>
        </w:rPr>
        <w:t>3.2 投标报价</w:t>
      </w:r>
      <w:bookmarkEnd w:id="96"/>
      <w:bookmarkEnd w:id="97"/>
    </w:p>
    <w:p>
      <w:pPr>
        <w:spacing w:line="360" w:lineRule="auto"/>
        <w:ind w:firstLine="480" w:firstLineChars="200"/>
        <w:rPr>
          <w:rFonts w:hint="eastAsia" w:ascii="宋体" w:hAnsi="宋体" w:eastAsia="宋体" w:cs="宋体"/>
          <w:color w:val="auto"/>
          <w:sz w:val="24"/>
          <w:szCs w:val="24"/>
          <w:highlight w:val="none"/>
          <w:lang w:eastAsia="zh-CN"/>
        </w:rPr>
      </w:pPr>
      <w:bookmarkStart w:id="98" w:name="_Toc31070"/>
      <w:bookmarkStart w:id="99" w:name="_Toc14907"/>
      <w:r>
        <w:rPr>
          <w:rFonts w:hint="eastAsia" w:ascii="宋体" w:hAnsi="宋体" w:eastAsia="宋体" w:cs="宋体"/>
          <w:color w:val="auto"/>
          <w:sz w:val="24"/>
          <w:szCs w:val="24"/>
          <w:highlight w:val="none"/>
          <w:lang w:eastAsia="zh-CN"/>
        </w:rPr>
        <w:t>3.2.1 投标人应按本招标文件“投标报价表”的要求填写相应表格。</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3.2.2 投标人在投标截止时间前修改投标函中的投标报价，应同时修改本招标文件“投标报价表”中的相应报价。此修改须符合本章第4.3 款的有关要求。</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投标有效期</w:t>
      </w:r>
      <w:bookmarkEnd w:id="98"/>
      <w:bookmarkEnd w:id="99"/>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3.3.1 在投标人须知前附表规定的投标有效期内，投标人不得要求撤销或修改其投标文件。</w:t>
      </w:r>
    </w:p>
    <w:p>
      <w:pPr>
        <w:spacing w:line="360" w:lineRule="auto"/>
        <w:ind w:firstLine="480" w:firstLineChars="200"/>
        <w:rPr>
          <w:rFonts w:hint="eastAsia" w:ascii="宋体" w:hAnsi="宋体" w:eastAsia="宋体" w:cs="宋体"/>
          <w:color w:val="auto"/>
          <w:sz w:val="24"/>
          <w:szCs w:val="24"/>
          <w:highlight w:val="none"/>
          <w:lang w:eastAsia="zh-CN"/>
        </w:rPr>
      </w:pPr>
      <w:bookmarkStart w:id="100" w:name="_Toc30376"/>
      <w:bookmarkStart w:id="101" w:name="_Toc7178"/>
      <w:r>
        <w:rPr>
          <w:rFonts w:hint="eastAsia" w:ascii="宋体" w:hAnsi="宋体" w:eastAsia="宋体" w:cs="宋体"/>
          <w:color w:val="auto"/>
          <w:sz w:val="24"/>
          <w:szCs w:val="24"/>
          <w:highlight w:val="none"/>
          <w:lang w:eastAsia="zh-CN"/>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投标保证金</w:t>
      </w:r>
      <w:bookmarkEnd w:id="100"/>
      <w:bookmarkEnd w:id="101"/>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3.4.1 投标人应给招标人提供投标保证金，数额见须知前附表所述。投标保证金是招标为了约束供应商在谈判过程中的行为，供应商不应依据谈判保证金金额的多少而报价。投标保证金有效期与投标有效期一致。</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3.4.2 投标保证金的收款人为中原招采信息科技（河南）有限公司，相关信息见须知前附表。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3.4.3 如有下列情况之一，投标人的投标保证金将不予退还。</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（1）投标人在投标文件及交易平台交易主体诚信库和相关注册信息中提供虚假材料的。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（2）除因不可抗力或招标文件认可的情形以外，不与招标人签订合同的。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（3）投标人与招标人、其他投标人或者代理机构恶意串通的。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（4）因投标人的原因无法及时退还投标保证金的，平台应采取通知和公告的形式告知当事人。通知、公告无法送达或当事人知情后不来办理退款、滞留三年以上的。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（5）法律法规及招标文件规定的其他情形。</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3.4.4 请查看《中原招标采购交易平台交易项目保证金管理办法（试行）》；通过平台进行交易的项目，在招标人（招标代理机构）发出中标候选人通知书和未中标通知书及发布项目结果公告之日起5日内，由平台按程序退还未中标人的保证金。中标候选人保证金在项目合同签订并上传平台系统之日起5日内，由平台按程序退还中标候选人保证金。</w:t>
      </w:r>
    </w:p>
    <w:p>
      <w:pPr>
        <w:pStyle w:val="4"/>
        <w:rPr>
          <w:rFonts w:hint="eastAsia" w:ascii="宋体" w:hAnsi="宋体" w:eastAsia="宋体" w:cs="宋体"/>
          <w:color w:val="auto"/>
          <w:sz w:val="24"/>
          <w:szCs w:val="24"/>
          <w:highlight w:val="none"/>
        </w:rPr>
      </w:pPr>
      <w:bookmarkStart w:id="102" w:name="_Toc25600"/>
      <w:bookmarkStart w:id="103" w:name="_Toc30352"/>
      <w:r>
        <w:rPr>
          <w:rFonts w:hint="eastAsia" w:ascii="宋体" w:hAnsi="宋体" w:eastAsia="宋体" w:cs="宋体"/>
          <w:color w:val="auto"/>
          <w:sz w:val="24"/>
          <w:szCs w:val="24"/>
          <w:highlight w:val="none"/>
        </w:rPr>
        <w:t>3.5 资格审查资料</w:t>
      </w:r>
      <w:bookmarkEnd w:id="102"/>
      <w:bookmarkEnd w:id="103"/>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按招标公告投标人资格要求提供。</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备选投标方案</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投标人不得递交备选投标方案，否则其投标将被否决。</w:t>
      </w:r>
    </w:p>
    <w:p>
      <w:pPr>
        <w:pStyle w:val="4"/>
        <w:rPr>
          <w:rFonts w:hint="eastAsia" w:ascii="宋体" w:hAnsi="宋体" w:eastAsia="宋体" w:cs="宋体"/>
          <w:color w:val="auto"/>
          <w:sz w:val="24"/>
          <w:szCs w:val="24"/>
          <w:highlight w:val="none"/>
        </w:rPr>
      </w:pPr>
      <w:bookmarkStart w:id="104" w:name="_Toc21309"/>
      <w:bookmarkStart w:id="105" w:name="_Toc8283"/>
      <w:r>
        <w:rPr>
          <w:rFonts w:hint="eastAsia" w:ascii="宋体" w:hAnsi="宋体" w:eastAsia="宋体" w:cs="宋体"/>
          <w:color w:val="auto"/>
          <w:sz w:val="24"/>
          <w:szCs w:val="24"/>
          <w:highlight w:val="none"/>
        </w:rPr>
        <w:t>3.7 投标文件的编制</w:t>
      </w:r>
      <w:bookmarkEnd w:id="104"/>
      <w:bookmarkEnd w:id="105"/>
    </w:p>
    <w:p>
      <w:pPr>
        <w:spacing w:line="360" w:lineRule="auto"/>
        <w:ind w:firstLine="480" w:firstLineChars="200"/>
        <w:rPr>
          <w:rFonts w:hint="eastAsia" w:ascii="宋体" w:hAnsi="宋体" w:eastAsia="宋体" w:cs="宋体"/>
          <w:color w:val="auto"/>
          <w:sz w:val="24"/>
          <w:szCs w:val="24"/>
          <w:highlight w:val="none"/>
          <w:lang w:eastAsia="zh-CN"/>
        </w:rPr>
      </w:pPr>
      <w:bookmarkStart w:id="106" w:name="_Toc256519675"/>
      <w:bookmarkStart w:id="107" w:name="_Toc462316764"/>
      <w:r>
        <w:rPr>
          <w:rFonts w:hint="eastAsia" w:ascii="宋体" w:hAnsi="宋体" w:eastAsia="宋体" w:cs="宋体"/>
          <w:color w:val="auto"/>
          <w:sz w:val="24"/>
          <w:szCs w:val="24"/>
          <w:highlight w:val="none"/>
          <w:lang w:eastAsia="zh-CN"/>
        </w:rPr>
        <w:t>3.7.1 投标文件应按招标文件要求进行编写，如有必要，可以增加附页，作为投标文件的组成部分。</w:t>
      </w:r>
      <w:bookmarkEnd w:id="106"/>
      <w:bookmarkEnd w:id="107"/>
      <w:r>
        <w:rPr>
          <w:rFonts w:hint="eastAsia" w:ascii="宋体" w:hAnsi="宋体" w:eastAsia="宋体" w:cs="宋体"/>
          <w:color w:val="auto"/>
          <w:sz w:val="24"/>
          <w:szCs w:val="24"/>
          <w:highlight w:val="none"/>
          <w:lang w:eastAsia="zh-CN"/>
        </w:rPr>
        <w:t>其中，投标函附录在满足招标文件实质性要求的基础上，可以提出比招标文件要求更有利于招标人的承诺。</w:t>
      </w:r>
    </w:p>
    <w:p>
      <w:pPr>
        <w:spacing w:line="360" w:lineRule="auto"/>
        <w:ind w:firstLine="480" w:firstLineChars="200"/>
        <w:rPr>
          <w:rFonts w:hint="eastAsia" w:ascii="宋体" w:hAnsi="宋体" w:eastAsia="宋体" w:cs="宋体"/>
          <w:color w:val="auto"/>
          <w:sz w:val="24"/>
          <w:szCs w:val="24"/>
          <w:highlight w:val="none"/>
          <w:lang w:eastAsia="zh-CN"/>
        </w:rPr>
      </w:pPr>
      <w:bookmarkStart w:id="108" w:name="_Toc462316765"/>
      <w:bookmarkStart w:id="109" w:name="_Toc256519676"/>
      <w:r>
        <w:rPr>
          <w:rFonts w:hint="eastAsia" w:ascii="宋体" w:hAnsi="宋体" w:eastAsia="宋体" w:cs="宋体"/>
          <w:color w:val="auto"/>
          <w:sz w:val="24"/>
          <w:szCs w:val="24"/>
          <w:highlight w:val="none"/>
          <w:lang w:eastAsia="zh-CN"/>
        </w:rPr>
        <w:t>3.7.2</w:t>
      </w:r>
      <w:bookmarkEnd w:id="108"/>
      <w:bookmarkEnd w:id="109"/>
      <w:r>
        <w:rPr>
          <w:rFonts w:hint="eastAsia" w:ascii="宋体" w:hAnsi="宋体" w:eastAsia="宋体" w:cs="宋体"/>
          <w:color w:val="auto"/>
          <w:sz w:val="24"/>
          <w:szCs w:val="24"/>
          <w:highlight w:val="none"/>
          <w:lang w:eastAsia="zh-CN"/>
        </w:rPr>
        <w:t xml:space="preserve"> 投标文件应当对招标文件有关工期、投标有效期、质量要求、技术标准和要求、招标范围等实质性内容作出响应。</w:t>
      </w:r>
    </w:p>
    <w:p>
      <w:pPr>
        <w:spacing w:line="360" w:lineRule="auto"/>
        <w:ind w:firstLine="480" w:firstLineChars="200"/>
        <w:rPr>
          <w:rFonts w:hint="eastAsia" w:ascii="宋体" w:hAnsi="宋体" w:eastAsia="宋体" w:cs="宋体"/>
          <w:color w:val="auto"/>
          <w:sz w:val="24"/>
          <w:szCs w:val="24"/>
          <w:highlight w:val="none"/>
          <w:lang w:eastAsia="zh-CN"/>
        </w:rPr>
      </w:pPr>
      <w:bookmarkStart w:id="110" w:name="_Toc256519677"/>
      <w:bookmarkStart w:id="111" w:name="_Toc462316766"/>
      <w:r>
        <w:rPr>
          <w:rFonts w:hint="eastAsia" w:ascii="宋体" w:hAnsi="宋体" w:eastAsia="宋体" w:cs="宋体"/>
          <w:color w:val="auto"/>
          <w:sz w:val="24"/>
          <w:szCs w:val="24"/>
          <w:highlight w:val="none"/>
          <w:lang w:eastAsia="zh-CN"/>
        </w:rPr>
        <w:t>3.7.3 投标文件应用不褪色的材料书写或打印，并由投标人的法定代表人（或其委托代理人）签字或盖章。委托代理人签字的，投标文件应附法定代表人签署的授权委托书。投标文件应尽量避免涂改、行间插字或删除。</w:t>
      </w:r>
      <w:bookmarkEnd w:id="110"/>
      <w:bookmarkEnd w:id="111"/>
      <w:r>
        <w:rPr>
          <w:rFonts w:hint="eastAsia" w:ascii="宋体" w:hAnsi="宋体" w:eastAsia="宋体" w:cs="宋体"/>
          <w:color w:val="auto"/>
          <w:sz w:val="24"/>
          <w:szCs w:val="24"/>
          <w:highlight w:val="none"/>
          <w:lang w:eastAsia="zh-CN"/>
        </w:rPr>
        <w:t>如果出现上述情况，改动之处应加盖单位章并由投标人的法定代表人或其授权的代理人签字确认。</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3.7.4 中标人投标文件正本一份，副本份数见投标人须知前附表。正本和副本的封面上应清楚地标记“正本”或“副本”的字样。当副本和正本不一致时，以正本为准。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 中标人投标文件的正本与副本应分别装订成册，并编制目录，具体装订要求见投标人须知前附表规定。</w:t>
      </w:r>
    </w:p>
    <w:p>
      <w:pPr>
        <w:pStyle w:val="2"/>
        <w:jc w:val="left"/>
        <w:rPr>
          <w:rFonts w:hint="eastAsia" w:ascii="宋体" w:hAnsi="宋体" w:eastAsia="宋体" w:cs="宋体"/>
          <w:color w:val="auto"/>
          <w:sz w:val="24"/>
          <w:szCs w:val="24"/>
          <w:highlight w:val="none"/>
          <w:lang w:eastAsia="zh-CN"/>
        </w:rPr>
      </w:pPr>
      <w:bookmarkStart w:id="112" w:name="_Toc29752"/>
      <w:bookmarkStart w:id="113" w:name="_Toc512"/>
      <w:bookmarkStart w:id="114" w:name="_Toc5411"/>
      <w:bookmarkStart w:id="115" w:name="_Toc10748_WPSOffice_Level2"/>
      <w:bookmarkStart w:id="116" w:name="_Toc9245_WPSOffice_Level2"/>
      <w:r>
        <w:rPr>
          <w:rFonts w:hint="eastAsia" w:ascii="宋体" w:hAnsi="宋体" w:eastAsia="宋体" w:cs="宋体"/>
          <w:color w:val="auto"/>
          <w:sz w:val="24"/>
          <w:szCs w:val="24"/>
          <w:highlight w:val="none"/>
          <w:lang w:eastAsia="zh-CN"/>
        </w:rPr>
        <w:t>4. 投标</w:t>
      </w:r>
      <w:bookmarkEnd w:id="112"/>
      <w:bookmarkEnd w:id="113"/>
      <w:bookmarkEnd w:id="114"/>
      <w:bookmarkEnd w:id="115"/>
      <w:bookmarkEnd w:id="116"/>
    </w:p>
    <w:p>
      <w:pPr>
        <w:pStyle w:val="4"/>
        <w:rPr>
          <w:rFonts w:hint="eastAsia" w:ascii="宋体" w:hAnsi="宋体" w:eastAsia="宋体" w:cs="宋体"/>
          <w:color w:val="auto"/>
          <w:sz w:val="24"/>
          <w:szCs w:val="24"/>
          <w:highlight w:val="none"/>
        </w:rPr>
      </w:pPr>
      <w:bookmarkStart w:id="117" w:name="_Toc18357"/>
      <w:bookmarkStart w:id="118" w:name="_Toc24225"/>
      <w:r>
        <w:rPr>
          <w:rFonts w:hint="eastAsia" w:ascii="宋体" w:hAnsi="宋体" w:eastAsia="宋体" w:cs="宋体"/>
          <w:color w:val="auto"/>
          <w:sz w:val="24"/>
          <w:szCs w:val="24"/>
          <w:highlight w:val="none"/>
        </w:rPr>
        <w:t>4.1 投标文件的密封和标记</w:t>
      </w:r>
      <w:bookmarkEnd w:id="117"/>
      <w:bookmarkEnd w:id="118"/>
    </w:p>
    <w:p>
      <w:pPr>
        <w:spacing w:line="360" w:lineRule="auto"/>
        <w:ind w:firstLine="480" w:firstLineChars="200"/>
        <w:rPr>
          <w:rFonts w:hint="eastAsia" w:ascii="宋体" w:hAnsi="宋体" w:eastAsia="宋体" w:cs="宋体"/>
          <w:color w:val="auto"/>
          <w:sz w:val="24"/>
          <w:szCs w:val="24"/>
          <w:highlight w:val="none"/>
          <w:lang w:eastAsia="zh-CN"/>
        </w:rPr>
      </w:pPr>
      <w:bookmarkStart w:id="119" w:name="_Toc511220652"/>
      <w:bookmarkStart w:id="120" w:name="_Toc22432"/>
      <w:bookmarkStart w:id="121" w:name="_Toc13058"/>
      <w:bookmarkStart w:id="122" w:name="_Toc511219768"/>
      <w:bookmarkStart w:id="123" w:name="_Toc336269699"/>
      <w:bookmarkStart w:id="124" w:name="_Toc294694982"/>
      <w:r>
        <w:rPr>
          <w:rFonts w:hint="eastAsia" w:ascii="宋体" w:hAnsi="宋体" w:eastAsia="宋体" w:cs="宋体"/>
          <w:color w:val="auto"/>
          <w:sz w:val="24"/>
          <w:szCs w:val="24"/>
          <w:highlight w:val="none"/>
          <w:lang w:eastAsia="zh-CN"/>
        </w:rPr>
        <w:t>本项目采用“远程不见面”开标方式，投标人无需到达开标现场参加开标会议，无需到达现场提交资料。</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投标文件的递交</w:t>
      </w:r>
      <w:bookmarkEnd w:id="119"/>
      <w:bookmarkEnd w:id="120"/>
      <w:bookmarkEnd w:id="121"/>
      <w:bookmarkEnd w:id="122"/>
    </w:p>
    <w:bookmarkEnd w:id="123"/>
    <w:bookmarkEnd w:id="124"/>
    <w:p>
      <w:pPr>
        <w:spacing w:line="360" w:lineRule="auto"/>
        <w:ind w:firstLine="480" w:firstLineChars="200"/>
        <w:rPr>
          <w:rFonts w:hint="eastAsia" w:ascii="宋体" w:hAnsi="宋体" w:eastAsia="宋体" w:cs="宋体"/>
          <w:color w:val="auto"/>
          <w:sz w:val="24"/>
          <w:szCs w:val="24"/>
          <w:highlight w:val="none"/>
          <w:lang w:eastAsia="zh-CN"/>
        </w:rPr>
      </w:pPr>
      <w:bookmarkStart w:id="125" w:name="_Toc16301"/>
      <w:bookmarkStart w:id="126" w:name="_Toc511219769"/>
      <w:bookmarkStart w:id="127" w:name="_Toc27206"/>
      <w:bookmarkStart w:id="128" w:name="_Toc511220653"/>
      <w:bookmarkStart w:id="129" w:name="_Toc294694984"/>
      <w:r>
        <w:rPr>
          <w:rFonts w:hint="eastAsia" w:ascii="宋体" w:hAnsi="宋体" w:eastAsia="宋体" w:cs="宋体"/>
          <w:color w:val="auto"/>
          <w:sz w:val="24"/>
          <w:szCs w:val="24"/>
          <w:highlight w:val="none"/>
          <w:lang w:eastAsia="zh-CN"/>
        </w:rPr>
        <w:t>本项目采用“远程不见面”开标方式，投标人无需到达开标现场参加开标会议，无需到达现场提交资料。投标人应当在投标截止时间，登录中原招标采购交易平台（http://www.zybtp.com/），在线准时参加开标活动并进行文件解密等。</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投标文件的修改与撤回</w:t>
      </w:r>
      <w:bookmarkEnd w:id="125"/>
      <w:bookmarkEnd w:id="126"/>
      <w:bookmarkEnd w:id="127"/>
      <w:bookmarkEnd w:id="128"/>
    </w:p>
    <w:p>
      <w:pPr>
        <w:spacing w:line="360" w:lineRule="auto"/>
        <w:ind w:firstLine="480" w:firstLineChars="200"/>
        <w:rPr>
          <w:rFonts w:hint="eastAsia" w:ascii="宋体" w:hAnsi="宋体" w:eastAsia="宋体" w:cs="宋体"/>
          <w:color w:val="auto"/>
          <w:sz w:val="24"/>
          <w:szCs w:val="24"/>
          <w:highlight w:val="none"/>
          <w:lang w:eastAsia="zh-CN"/>
        </w:rPr>
      </w:pPr>
      <w:bookmarkStart w:id="130" w:name="_Toc336269701"/>
      <w:r>
        <w:rPr>
          <w:rFonts w:hint="eastAsia" w:ascii="宋体" w:hAnsi="宋体" w:eastAsia="宋体" w:cs="宋体"/>
          <w:color w:val="auto"/>
          <w:sz w:val="24"/>
          <w:szCs w:val="24"/>
          <w:highlight w:val="none"/>
          <w:lang w:eastAsia="zh-CN"/>
        </w:rPr>
        <w:t>4.3.1 投标单位可以在投标截止时间前修改或撤回其投标文件。但必须书面形式通知招标人或招标代理机构，并按照要求签字或盖章。</w:t>
      </w:r>
      <w:bookmarkEnd w:id="130"/>
      <w:r>
        <w:rPr>
          <w:rFonts w:hint="eastAsia" w:ascii="宋体" w:hAnsi="宋体" w:eastAsia="宋体" w:cs="宋体"/>
          <w:color w:val="auto"/>
          <w:sz w:val="24"/>
          <w:szCs w:val="24"/>
          <w:highlight w:val="none"/>
          <w:lang w:eastAsia="zh-CN"/>
        </w:rPr>
        <w:t>更改、撤回的确认书必须在投标截止时间前送达招标人或招标代理机构，并得到招标人或招标代理机构书面确认。</w:t>
      </w:r>
    </w:p>
    <w:p>
      <w:pPr>
        <w:spacing w:line="360" w:lineRule="auto"/>
        <w:ind w:firstLine="480" w:firstLineChars="200"/>
        <w:rPr>
          <w:rFonts w:hint="eastAsia" w:ascii="宋体" w:hAnsi="宋体" w:eastAsia="宋体" w:cs="宋体"/>
          <w:color w:val="auto"/>
          <w:sz w:val="24"/>
          <w:szCs w:val="24"/>
          <w:highlight w:val="none"/>
          <w:lang w:eastAsia="zh-CN"/>
        </w:rPr>
      </w:pPr>
      <w:bookmarkStart w:id="131" w:name="_Toc3508"/>
      <w:bookmarkStart w:id="132" w:name="_Toc23374"/>
      <w:bookmarkStart w:id="133" w:name="_Toc16196"/>
      <w:bookmarkStart w:id="134" w:name="_Toc29235"/>
      <w:r>
        <w:rPr>
          <w:rFonts w:hint="eastAsia" w:ascii="宋体" w:hAnsi="宋体" w:eastAsia="宋体" w:cs="宋体"/>
          <w:color w:val="auto"/>
          <w:sz w:val="24"/>
          <w:szCs w:val="24"/>
          <w:highlight w:val="none"/>
          <w:lang w:eastAsia="zh-CN"/>
        </w:rPr>
        <w:t>4.3.2 修改的投标文件应同样按照投标文件送交规定的要求进行编制、递交，修改内容将作为投标文件的组成部分。</w:t>
      </w:r>
      <w:bookmarkEnd w:id="131"/>
      <w:bookmarkEnd w:id="132"/>
      <w:bookmarkEnd w:id="133"/>
      <w:bookmarkEnd w:id="134"/>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4.3.3 在投标截止时间后，投标单位不能修改投标文件。</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4.3.4 在投标截止时间与投标文件有效期终止日之间的这段期间内，投标单位不能撤回投标文件，否则其投标保证金将被没收。</w:t>
      </w:r>
    </w:p>
    <w:bookmarkEnd w:id="129"/>
    <w:p>
      <w:pPr>
        <w:pStyle w:val="2"/>
        <w:jc w:val="left"/>
        <w:rPr>
          <w:rFonts w:hint="eastAsia" w:ascii="宋体" w:hAnsi="宋体" w:eastAsia="宋体" w:cs="宋体"/>
          <w:color w:val="auto"/>
          <w:sz w:val="24"/>
          <w:szCs w:val="24"/>
          <w:highlight w:val="none"/>
          <w:lang w:eastAsia="zh-CN"/>
        </w:rPr>
      </w:pPr>
      <w:bookmarkStart w:id="135" w:name="_Toc29674_WPSOffice_Level2"/>
      <w:bookmarkStart w:id="136" w:name="_Toc25087"/>
      <w:bookmarkStart w:id="137" w:name="_Toc31616"/>
      <w:bookmarkStart w:id="138" w:name="_Toc24030_WPSOffice_Level2"/>
      <w:bookmarkStart w:id="139" w:name="_Toc21607"/>
      <w:r>
        <w:rPr>
          <w:rFonts w:hint="eastAsia" w:ascii="宋体" w:hAnsi="宋体" w:eastAsia="宋体" w:cs="宋体"/>
          <w:color w:val="auto"/>
          <w:sz w:val="24"/>
          <w:szCs w:val="24"/>
          <w:highlight w:val="none"/>
          <w:lang w:eastAsia="zh-CN"/>
        </w:rPr>
        <w:t>5. 开标</w:t>
      </w:r>
      <w:bookmarkEnd w:id="135"/>
      <w:bookmarkEnd w:id="136"/>
      <w:bookmarkEnd w:id="137"/>
      <w:bookmarkEnd w:id="138"/>
      <w:bookmarkEnd w:id="139"/>
    </w:p>
    <w:p>
      <w:pPr>
        <w:pStyle w:val="4"/>
        <w:rPr>
          <w:rFonts w:hint="eastAsia" w:ascii="宋体" w:hAnsi="宋体" w:eastAsia="宋体" w:cs="宋体"/>
          <w:color w:val="auto"/>
          <w:sz w:val="24"/>
          <w:szCs w:val="24"/>
          <w:highlight w:val="none"/>
        </w:rPr>
      </w:pPr>
      <w:bookmarkStart w:id="140" w:name="_Toc1861"/>
      <w:bookmarkStart w:id="141" w:name="_Toc13913"/>
      <w:r>
        <w:rPr>
          <w:rFonts w:hint="eastAsia" w:ascii="宋体" w:hAnsi="宋体" w:eastAsia="宋体" w:cs="宋体"/>
          <w:color w:val="auto"/>
          <w:sz w:val="24"/>
          <w:szCs w:val="24"/>
          <w:highlight w:val="none"/>
        </w:rPr>
        <w:t>5.1 开标时间和地点</w:t>
      </w:r>
      <w:bookmarkEnd w:id="140"/>
      <w:bookmarkEnd w:id="141"/>
    </w:p>
    <w:p>
      <w:pPr>
        <w:spacing w:line="360" w:lineRule="auto"/>
        <w:ind w:firstLine="480" w:firstLineChars="200"/>
        <w:rPr>
          <w:rFonts w:hint="eastAsia" w:ascii="宋体" w:hAnsi="宋体" w:eastAsia="宋体" w:cs="宋体"/>
          <w:color w:val="auto"/>
          <w:sz w:val="24"/>
          <w:szCs w:val="24"/>
          <w:highlight w:val="none"/>
          <w:lang w:eastAsia="zh-CN"/>
        </w:rPr>
      </w:pPr>
      <w:bookmarkStart w:id="142" w:name="_Toc19446"/>
      <w:bookmarkStart w:id="143" w:name="_Toc511219772"/>
      <w:bookmarkStart w:id="144" w:name="_Toc5487"/>
      <w:bookmarkStart w:id="145" w:name="_Toc511220656"/>
      <w:r>
        <w:rPr>
          <w:rFonts w:hint="eastAsia" w:ascii="宋体" w:hAnsi="宋体" w:eastAsia="宋体" w:cs="宋体"/>
          <w:color w:val="auto"/>
          <w:sz w:val="24"/>
          <w:szCs w:val="24"/>
          <w:highlight w:val="none"/>
          <w:lang w:eastAsia="zh-CN"/>
        </w:rPr>
        <w:t>招标人在投标人须知前附表规定的投标截止时间（开标时间）和地点，通过电子招标投标交易平台公开开标，所有投标人的法定代表人或其委托代理人准时参加。</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开标程序</w:t>
      </w:r>
      <w:bookmarkEnd w:id="142"/>
      <w:bookmarkEnd w:id="143"/>
      <w:bookmarkEnd w:id="144"/>
      <w:bookmarkEnd w:id="145"/>
    </w:p>
    <w:p>
      <w:pPr>
        <w:spacing w:line="360" w:lineRule="auto"/>
        <w:ind w:firstLine="480" w:firstLineChars="200"/>
        <w:jc w:val="both"/>
        <w:rPr>
          <w:rFonts w:hint="eastAsia" w:ascii="宋体" w:hAnsi="宋体" w:eastAsia="宋体" w:cs="宋体"/>
          <w:color w:val="auto"/>
          <w:sz w:val="24"/>
          <w:szCs w:val="24"/>
          <w:highlight w:val="none"/>
          <w:lang w:eastAsia="zh-CN"/>
        </w:rPr>
      </w:pPr>
      <w:bookmarkStart w:id="146" w:name="_Toc17220_WPSOffice_Level2"/>
      <w:bookmarkStart w:id="147" w:name="_Toc511219773"/>
      <w:bookmarkStart w:id="148" w:name="_Toc20337"/>
      <w:bookmarkStart w:id="149" w:name="_Toc21660_WPSOffice_Level2"/>
      <w:bookmarkStart w:id="150" w:name="_Toc25467"/>
      <w:bookmarkStart w:id="151" w:name="_Toc511220657"/>
      <w:r>
        <w:rPr>
          <w:rFonts w:hint="eastAsia" w:ascii="宋体" w:hAnsi="宋体" w:eastAsia="宋体" w:cs="宋体"/>
          <w:color w:val="auto"/>
          <w:sz w:val="24"/>
          <w:szCs w:val="24"/>
          <w:highlight w:val="none"/>
          <w:lang w:eastAsia="zh-CN"/>
        </w:rPr>
        <w:t>项目采用“远程不见面”开标方式，投标人无需到达开标现场参加开标会议，无需到达现场提交资料。投标人应当在投标截止时间，登录中原招标采购交易平台（http://www.zybtp.com/），在线准时参加开标活动并进行文件解密等。若因加密电子投标文件未能成功上传、误传等其他原因而导致的解密失败，投标将被拒绝。</w:t>
      </w:r>
    </w:p>
    <w:p>
      <w:pPr>
        <w:pStyle w:val="2"/>
        <w:numPr>
          <w:ilvl w:val="0"/>
          <w:numId w:val="1"/>
        </w:numPr>
        <w:jc w:val="left"/>
        <w:rPr>
          <w:rFonts w:hint="eastAsia" w:ascii="宋体" w:hAnsi="宋体" w:eastAsia="宋体" w:cs="宋体"/>
          <w:color w:val="auto"/>
          <w:sz w:val="24"/>
          <w:szCs w:val="24"/>
          <w:highlight w:val="none"/>
          <w:lang w:eastAsia="zh-CN"/>
        </w:rPr>
      </w:pPr>
      <w:bookmarkStart w:id="152" w:name="_Toc5410"/>
      <w:r>
        <w:rPr>
          <w:rFonts w:hint="eastAsia" w:ascii="宋体" w:hAnsi="宋体" w:eastAsia="宋体" w:cs="宋体"/>
          <w:color w:val="auto"/>
          <w:sz w:val="24"/>
          <w:szCs w:val="24"/>
          <w:highlight w:val="none"/>
          <w:lang w:eastAsia="zh-CN"/>
        </w:rPr>
        <w:t>评标</w:t>
      </w:r>
      <w:bookmarkEnd w:id="146"/>
      <w:bookmarkEnd w:id="147"/>
      <w:bookmarkEnd w:id="148"/>
      <w:bookmarkEnd w:id="149"/>
      <w:bookmarkEnd w:id="150"/>
      <w:bookmarkEnd w:id="151"/>
      <w:bookmarkEnd w:id="152"/>
    </w:p>
    <w:p>
      <w:pPr>
        <w:pStyle w:val="4"/>
        <w:rPr>
          <w:rFonts w:hint="eastAsia" w:ascii="宋体" w:hAnsi="宋体" w:eastAsia="宋体" w:cs="宋体"/>
          <w:color w:val="auto"/>
          <w:sz w:val="24"/>
          <w:szCs w:val="24"/>
          <w:highlight w:val="none"/>
        </w:rPr>
      </w:pPr>
      <w:bookmarkStart w:id="153" w:name="_Toc10462"/>
      <w:bookmarkStart w:id="154" w:name="_Toc21513"/>
      <w:r>
        <w:rPr>
          <w:rFonts w:hint="eastAsia" w:ascii="宋体" w:hAnsi="宋体" w:eastAsia="宋体" w:cs="宋体"/>
          <w:color w:val="auto"/>
          <w:sz w:val="24"/>
          <w:szCs w:val="24"/>
          <w:highlight w:val="none"/>
        </w:rPr>
        <w:t>6.1 评标委员会</w:t>
      </w:r>
      <w:bookmarkEnd w:id="153"/>
      <w:bookmarkEnd w:id="154"/>
    </w:p>
    <w:p>
      <w:pPr>
        <w:spacing w:line="360" w:lineRule="auto"/>
        <w:ind w:firstLine="480" w:firstLineChars="200"/>
        <w:rPr>
          <w:rFonts w:hint="eastAsia" w:ascii="宋体" w:hAnsi="宋体" w:eastAsia="宋体" w:cs="宋体"/>
          <w:color w:val="auto"/>
          <w:sz w:val="24"/>
          <w:szCs w:val="24"/>
          <w:highlight w:val="none"/>
          <w:lang w:eastAsia="zh-CN"/>
        </w:rPr>
      </w:pPr>
      <w:bookmarkStart w:id="155" w:name="_Toc19991"/>
      <w:bookmarkStart w:id="156" w:name="_Toc13775"/>
      <w:r>
        <w:rPr>
          <w:rFonts w:hint="eastAsia" w:ascii="宋体" w:hAnsi="宋体" w:eastAsia="宋体" w:cs="宋体"/>
          <w:color w:val="auto"/>
          <w:sz w:val="24"/>
          <w:szCs w:val="24"/>
          <w:highlight w:val="none"/>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6.1.2 评标委员会成员有下列情形之一的，应当回避：</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（1）招标人或投标人的主要负责人的近亲属；</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（2）项目主管部门或者行政监督部门的人员；</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（3）与投标人有经济利益关系，可能影响对投标公正评审的；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（4）曾因在招标、评标以及其它与招标投标有关活动中从事违法行为而受过行政处罚或刑事处罚的。</w:t>
      </w: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评标原则</w:t>
      </w:r>
      <w:bookmarkEnd w:id="155"/>
      <w:bookmarkEnd w:id="156"/>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评标活动遵循公平、公正、科学和择优的原则。</w:t>
      </w:r>
    </w:p>
    <w:p>
      <w:pPr>
        <w:pStyle w:val="4"/>
        <w:rPr>
          <w:rFonts w:hint="eastAsia" w:ascii="宋体" w:hAnsi="宋体" w:eastAsia="宋体" w:cs="宋体"/>
          <w:color w:val="auto"/>
          <w:sz w:val="24"/>
          <w:szCs w:val="24"/>
          <w:highlight w:val="none"/>
        </w:rPr>
      </w:pPr>
      <w:bookmarkStart w:id="157" w:name="_Toc29853"/>
      <w:bookmarkStart w:id="158" w:name="_Toc27033"/>
      <w:r>
        <w:rPr>
          <w:rFonts w:hint="eastAsia" w:ascii="宋体" w:hAnsi="宋体" w:eastAsia="宋体" w:cs="宋体"/>
          <w:color w:val="auto"/>
          <w:sz w:val="24"/>
          <w:szCs w:val="24"/>
          <w:highlight w:val="none"/>
        </w:rPr>
        <w:t>6.3 评标</w:t>
      </w:r>
      <w:bookmarkEnd w:id="157"/>
      <w:bookmarkEnd w:id="158"/>
    </w:p>
    <w:p>
      <w:pPr>
        <w:spacing w:line="360" w:lineRule="auto"/>
        <w:ind w:firstLine="480" w:firstLineChars="200"/>
        <w:rPr>
          <w:rFonts w:hint="eastAsia" w:ascii="宋体" w:hAnsi="宋体" w:eastAsia="宋体" w:cs="宋体"/>
          <w:color w:val="auto"/>
          <w:sz w:val="24"/>
          <w:szCs w:val="24"/>
          <w:highlight w:val="none"/>
          <w:lang w:eastAsia="zh-CN"/>
        </w:rPr>
      </w:pPr>
      <w:bookmarkStart w:id="159" w:name="_Toc256519704"/>
      <w:bookmarkStart w:id="160" w:name="_Toc462316794"/>
      <w:bookmarkStart w:id="161" w:name="_Toc254788497"/>
      <w:r>
        <w:rPr>
          <w:rFonts w:hint="eastAsia" w:ascii="宋体" w:hAnsi="宋体" w:eastAsia="宋体" w:cs="宋体"/>
          <w:color w:val="auto"/>
          <w:sz w:val="24"/>
          <w:szCs w:val="24"/>
          <w:highlight w:val="none"/>
          <w:lang w:eastAsia="zh-CN"/>
        </w:rPr>
        <w:t>评标委员会按照第三章“评标办法”规定的方法、评审因素、标准和程序对投标文件进行评审。</w:t>
      </w:r>
      <w:bookmarkEnd w:id="159"/>
      <w:bookmarkEnd w:id="160"/>
      <w:r>
        <w:rPr>
          <w:rFonts w:hint="eastAsia" w:ascii="宋体" w:hAnsi="宋体" w:eastAsia="宋体" w:cs="宋体"/>
          <w:color w:val="auto"/>
          <w:sz w:val="24"/>
          <w:szCs w:val="24"/>
          <w:highlight w:val="none"/>
          <w:lang w:eastAsia="zh-CN"/>
        </w:rPr>
        <w:t>第三章“评标办法”没有规定的方法、评审因素和标准，不作为评标依据。评标委员会在评标时，除法律法规和招标文件中明确规定为废标、无效标、拒收条款的重大偏差外，其他偏差均为细微偏差，不得评定为废标，应由投标人予以澄清。</w:t>
      </w:r>
    </w:p>
    <w:bookmarkEnd w:id="161"/>
    <w:p>
      <w:pPr>
        <w:pStyle w:val="2"/>
        <w:numPr>
          <w:ilvl w:val="0"/>
          <w:numId w:val="1"/>
        </w:numPr>
        <w:ind w:left="0" w:leftChars="0" w:firstLine="0" w:firstLineChars="0"/>
        <w:jc w:val="left"/>
        <w:rPr>
          <w:rFonts w:hint="eastAsia" w:ascii="宋体" w:hAnsi="宋体" w:eastAsia="宋体" w:cs="宋体"/>
          <w:color w:val="auto"/>
          <w:sz w:val="24"/>
          <w:szCs w:val="24"/>
          <w:highlight w:val="none"/>
          <w:lang w:eastAsia="zh-CN"/>
        </w:rPr>
      </w:pPr>
      <w:bookmarkStart w:id="162" w:name="_Toc511219774"/>
      <w:bookmarkStart w:id="163" w:name="_Toc511220658"/>
      <w:bookmarkStart w:id="164" w:name="_Toc22144"/>
      <w:bookmarkStart w:id="165" w:name="_Toc30546_WPSOffice_Level2"/>
      <w:bookmarkStart w:id="166" w:name="_Toc22409"/>
      <w:bookmarkStart w:id="167" w:name="_Toc20610"/>
      <w:bookmarkStart w:id="168" w:name="_Toc8633_WPSOffice_Level2"/>
      <w:r>
        <w:rPr>
          <w:rFonts w:hint="eastAsia" w:ascii="宋体" w:hAnsi="宋体" w:eastAsia="宋体" w:cs="宋体"/>
          <w:color w:val="auto"/>
          <w:sz w:val="24"/>
          <w:szCs w:val="24"/>
          <w:highlight w:val="none"/>
          <w:lang w:eastAsia="zh-CN"/>
        </w:rPr>
        <w:t>合同授予</w:t>
      </w:r>
      <w:bookmarkEnd w:id="162"/>
      <w:bookmarkEnd w:id="163"/>
      <w:bookmarkEnd w:id="164"/>
      <w:bookmarkEnd w:id="165"/>
      <w:bookmarkEnd w:id="166"/>
      <w:bookmarkEnd w:id="167"/>
      <w:bookmarkEnd w:id="168"/>
    </w:p>
    <w:p>
      <w:pPr>
        <w:pStyle w:val="4"/>
        <w:rPr>
          <w:rFonts w:hint="eastAsia" w:ascii="宋体" w:hAnsi="宋体" w:eastAsia="宋体" w:cs="宋体"/>
          <w:color w:val="auto"/>
          <w:sz w:val="24"/>
          <w:szCs w:val="24"/>
          <w:highlight w:val="none"/>
        </w:rPr>
      </w:pPr>
      <w:bookmarkStart w:id="169" w:name="_Toc22615"/>
      <w:bookmarkStart w:id="170" w:name="_Toc31801"/>
      <w:r>
        <w:rPr>
          <w:rFonts w:hint="eastAsia" w:ascii="宋体" w:hAnsi="宋体" w:eastAsia="宋体" w:cs="宋体"/>
          <w:color w:val="auto"/>
          <w:sz w:val="24"/>
          <w:szCs w:val="24"/>
          <w:highlight w:val="none"/>
        </w:rPr>
        <w:t>7.1 定标方式</w:t>
      </w:r>
      <w:bookmarkEnd w:id="169"/>
      <w:bookmarkEnd w:id="170"/>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除投标人须知前附表规定评标委员会直接确定中标人外，招标人依据评标委员会推荐的中标候选人确定中标人，评标委员会推荐中标候选人的人数见投标人须知前附表。</w:t>
      </w:r>
    </w:p>
    <w:p>
      <w:pPr>
        <w:pStyle w:val="4"/>
        <w:rPr>
          <w:rFonts w:hint="eastAsia" w:ascii="宋体" w:hAnsi="宋体" w:eastAsia="宋体" w:cs="宋体"/>
          <w:color w:val="auto"/>
          <w:sz w:val="24"/>
          <w:szCs w:val="24"/>
          <w:highlight w:val="none"/>
        </w:rPr>
      </w:pPr>
      <w:bookmarkStart w:id="171" w:name="_Toc1457"/>
      <w:bookmarkStart w:id="172" w:name="_Toc250"/>
      <w:r>
        <w:rPr>
          <w:rFonts w:hint="eastAsia" w:ascii="宋体" w:hAnsi="宋体" w:eastAsia="宋体" w:cs="宋体"/>
          <w:color w:val="auto"/>
          <w:sz w:val="24"/>
          <w:szCs w:val="24"/>
          <w:highlight w:val="none"/>
        </w:rPr>
        <w:t>7.2 中标通知</w:t>
      </w:r>
      <w:bookmarkEnd w:id="171"/>
      <w:bookmarkEnd w:id="172"/>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在本章规定的投标有效期内，由招标代理机构以书面形式向中标人发出中标通知书，同时将中标结果通知未中标的投标人。</w:t>
      </w:r>
    </w:p>
    <w:p>
      <w:pPr>
        <w:pStyle w:val="4"/>
        <w:rPr>
          <w:rFonts w:hint="eastAsia" w:ascii="宋体" w:hAnsi="宋体" w:eastAsia="宋体" w:cs="宋体"/>
          <w:color w:val="auto"/>
          <w:sz w:val="24"/>
          <w:szCs w:val="24"/>
          <w:highlight w:val="none"/>
        </w:rPr>
      </w:pPr>
      <w:bookmarkStart w:id="173" w:name="_Toc31122"/>
      <w:bookmarkStart w:id="174" w:name="_Toc20125"/>
      <w:r>
        <w:rPr>
          <w:rFonts w:hint="eastAsia" w:ascii="宋体" w:hAnsi="宋体" w:eastAsia="宋体" w:cs="宋体"/>
          <w:color w:val="auto"/>
          <w:sz w:val="24"/>
          <w:szCs w:val="24"/>
          <w:highlight w:val="none"/>
        </w:rPr>
        <w:t>7.3 履约担保</w:t>
      </w:r>
      <w:bookmarkEnd w:id="173"/>
      <w:bookmarkEnd w:id="174"/>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7.3.1 中标人应按投标人须知前附表规定的金额、担保形式向招标人提交履约担保。</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7.3.2 中标人不能按本章要求提交履约担保的，视为放弃中标，其投标保证金不予退还，给招标人造成的损失超过投标保证金数额的，中标人还应当对超过部分予以赔偿。</w:t>
      </w:r>
    </w:p>
    <w:p>
      <w:pPr>
        <w:pStyle w:val="4"/>
        <w:rPr>
          <w:rFonts w:hint="eastAsia" w:ascii="宋体" w:hAnsi="宋体" w:eastAsia="宋体" w:cs="宋体"/>
          <w:color w:val="auto"/>
          <w:sz w:val="24"/>
          <w:szCs w:val="24"/>
          <w:highlight w:val="none"/>
        </w:rPr>
      </w:pPr>
      <w:bookmarkStart w:id="175" w:name="_Toc14142"/>
      <w:bookmarkStart w:id="176" w:name="_Toc11395"/>
      <w:r>
        <w:rPr>
          <w:rFonts w:hint="eastAsia" w:ascii="宋体" w:hAnsi="宋体" w:eastAsia="宋体" w:cs="宋体"/>
          <w:color w:val="auto"/>
          <w:sz w:val="24"/>
          <w:szCs w:val="24"/>
          <w:highlight w:val="none"/>
        </w:rPr>
        <w:t>7.4 签订合同</w:t>
      </w:r>
      <w:bookmarkEnd w:id="175"/>
      <w:bookmarkEnd w:id="176"/>
    </w:p>
    <w:p>
      <w:pPr>
        <w:spacing w:line="360" w:lineRule="auto"/>
        <w:ind w:firstLine="480" w:firstLineChars="200"/>
        <w:rPr>
          <w:rFonts w:hint="eastAsia" w:ascii="宋体" w:hAnsi="宋体" w:eastAsia="宋体" w:cs="宋体"/>
          <w:color w:val="auto"/>
          <w:sz w:val="24"/>
          <w:szCs w:val="24"/>
          <w:highlight w:val="none"/>
          <w:lang w:eastAsia="zh-CN"/>
        </w:rPr>
      </w:pPr>
      <w:bookmarkStart w:id="177" w:name="_Toc511219775"/>
      <w:bookmarkStart w:id="178" w:name="_Toc511220659"/>
      <w:r>
        <w:rPr>
          <w:rFonts w:hint="eastAsia" w:ascii="宋体" w:hAnsi="宋体" w:eastAsia="宋体" w:cs="宋体"/>
          <w:color w:val="auto"/>
          <w:sz w:val="24"/>
          <w:szCs w:val="24"/>
          <w:highlight w:val="none"/>
          <w:lang w:eastAsia="zh-CN"/>
        </w:rPr>
        <w:t>7.4.1 本次招标人为河南沃克曼建设工程有限公司，自中标通知书发出之日起30日内签订合同。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7.4.2 中标人无正当理由拒签合同的，招标人取消其中标资格，其投标保证金不予退还；给招标人造成的损失超过投标保证金数额的，中标人还应当对超过部分予以赔偿。</w:t>
      </w:r>
      <w:bookmarkStart w:id="179" w:name="_Toc152042347"/>
      <w:bookmarkStart w:id="180" w:name="_Toc152045571"/>
      <w:bookmarkStart w:id="181" w:name="_Toc179632589"/>
      <w:bookmarkStart w:id="182" w:name="_Toc144974539"/>
    </w:p>
    <w:p>
      <w:pPr>
        <w:pStyle w:val="2"/>
        <w:jc w:val="left"/>
        <w:rPr>
          <w:rFonts w:hint="eastAsia" w:ascii="宋体" w:hAnsi="宋体" w:eastAsia="宋体" w:cs="宋体"/>
          <w:color w:val="auto"/>
          <w:sz w:val="24"/>
          <w:szCs w:val="24"/>
          <w:highlight w:val="none"/>
          <w:lang w:eastAsia="zh-CN"/>
        </w:rPr>
      </w:pPr>
      <w:bookmarkStart w:id="183" w:name="_Toc16916"/>
      <w:r>
        <w:rPr>
          <w:rFonts w:hint="eastAsia" w:ascii="宋体" w:hAnsi="宋体" w:eastAsia="宋体" w:cs="宋体"/>
          <w:color w:val="auto"/>
          <w:sz w:val="24"/>
          <w:szCs w:val="24"/>
          <w:highlight w:val="none"/>
          <w:lang w:eastAsia="zh-CN"/>
        </w:rPr>
        <w:t>8. 重新招标和不再招标</w:t>
      </w:r>
      <w:bookmarkEnd w:id="179"/>
      <w:bookmarkEnd w:id="180"/>
      <w:bookmarkEnd w:id="181"/>
      <w:bookmarkEnd w:id="182"/>
      <w:bookmarkEnd w:id="183"/>
    </w:p>
    <w:p>
      <w:pPr>
        <w:pStyle w:val="4"/>
        <w:rPr>
          <w:rFonts w:hint="eastAsia" w:ascii="宋体" w:hAnsi="宋体" w:eastAsia="宋体" w:cs="宋体"/>
          <w:color w:val="auto"/>
          <w:sz w:val="24"/>
          <w:szCs w:val="24"/>
          <w:highlight w:val="none"/>
        </w:rPr>
      </w:pPr>
      <w:bookmarkStart w:id="184" w:name="_Toc27043"/>
      <w:bookmarkStart w:id="185" w:name="_Toc20522"/>
      <w:r>
        <w:rPr>
          <w:rFonts w:hint="eastAsia" w:ascii="宋体" w:hAnsi="宋体" w:eastAsia="宋体" w:cs="宋体"/>
          <w:color w:val="auto"/>
          <w:sz w:val="24"/>
          <w:szCs w:val="24"/>
          <w:highlight w:val="none"/>
        </w:rPr>
        <w:t>8.1 重新招标</w:t>
      </w:r>
      <w:bookmarkEnd w:id="177"/>
      <w:bookmarkEnd w:id="178"/>
      <w:bookmarkEnd w:id="184"/>
      <w:bookmarkEnd w:id="185"/>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以上标段有下列情形之一的，招标人将重新招标：</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（1）投标截止时间止，投标人少于3个的；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（2）经评标委员会评审后否决所有投标的；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（3）法律法规规定的其他情形。</w:t>
      </w:r>
    </w:p>
    <w:p>
      <w:pPr>
        <w:pStyle w:val="4"/>
        <w:rPr>
          <w:rFonts w:hint="eastAsia" w:ascii="宋体" w:hAnsi="宋体" w:eastAsia="宋体" w:cs="宋体"/>
          <w:color w:val="auto"/>
          <w:sz w:val="24"/>
          <w:szCs w:val="24"/>
          <w:highlight w:val="none"/>
        </w:rPr>
      </w:pPr>
      <w:bookmarkStart w:id="186" w:name="_Toc152045573"/>
      <w:bookmarkStart w:id="187" w:name="_Toc179632591"/>
      <w:bookmarkStart w:id="188" w:name="_Toc152042349"/>
      <w:bookmarkStart w:id="189" w:name="_Toc144974541"/>
      <w:bookmarkStart w:id="190" w:name="_Toc30380"/>
      <w:bookmarkStart w:id="191" w:name="_Toc27484"/>
      <w:bookmarkStart w:id="192" w:name="_Toc511219776"/>
      <w:bookmarkStart w:id="193" w:name="_Toc511220660"/>
      <w:r>
        <w:rPr>
          <w:rFonts w:hint="eastAsia" w:ascii="宋体" w:hAnsi="宋体" w:eastAsia="宋体" w:cs="宋体"/>
          <w:color w:val="auto"/>
          <w:sz w:val="24"/>
          <w:szCs w:val="24"/>
          <w:highlight w:val="none"/>
        </w:rPr>
        <w:t>8.2 不再招标</w:t>
      </w:r>
      <w:bookmarkEnd w:id="186"/>
      <w:bookmarkEnd w:id="187"/>
      <w:bookmarkEnd w:id="188"/>
      <w:bookmarkEnd w:id="189"/>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重新招标后投标人仍少于3个或者所有投标被否决的，属于必须审批或核准的工程建设项目，经原审批或核准部门批准后不再进行招标。</w:t>
      </w:r>
    </w:p>
    <w:p>
      <w:pPr>
        <w:pStyle w:val="2"/>
        <w:jc w:val="left"/>
        <w:rPr>
          <w:rFonts w:hint="eastAsia" w:ascii="宋体" w:hAnsi="宋体" w:eastAsia="宋体" w:cs="宋体"/>
          <w:color w:val="auto"/>
          <w:sz w:val="24"/>
          <w:szCs w:val="24"/>
          <w:highlight w:val="none"/>
          <w:lang w:eastAsia="zh-CN"/>
        </w:rPr>
      </w:pPr>
      <w:bookmarkStart w:id="194" w:name="_Toc23967"/>
      <w:r>
        <w:rPr>
          <w:rFonts w:hint="eastAsia" w:ascii="宋体" w:hAnsi="宋体" w:eastAsia="宋体" w:cs="宋体"/>
          <w:color w:val="auto"/>
          <w:sz w:val="24"/>
          <w:szCs w:val="24"/>
          <w:highlight w:val="none"/>
          <w:lang w:eastAsia="zh-CN"/>
        </w:rPr>
        <w:t>9. 纪律和监督</w:t>
      </w:r>
      <w:bookmarkEnd w:id="190"/>
      <w:bookmarkEnd w:id="191"/>
      <w:bookmarkEnd w:id="192"/>
      <w:bookmarkEnd w:id="193"/>
      <w:bookmarkEnd w:id="194"/>
    </w:p>
    <w:p>
      <w:pPr>
        <w:pStyle w:val="4"/>
        <w:rPr>
          <w:rFonts w:hint="eastAsia" w:ascii="宋体" w:hAnsi="宋体" w:eastAsia="宋体" w:cs="宋体"/>
          <w:color w:val="auto"/>
          <w:sz w:val="24"/>
          <w:szCs w:val="24"/>
          <w:highlight w:val="none"/>
        </w:rPr>
      </w:pPr>
      <w:bookmarkStart w:id="195" w:name="_Toc179632594"/>
      <w:bookmarkStart w:id="196" w:name="_Toc152045576"/>
      <w:bookmarkStart w:id="197" w:name="_Toc152042352"/>
      <w:bookmarkStart w:id="198" w:name="_Toc144974544"/>
      <w:bookmarkStart w:id="199" w:name="_Toc18964"/>
      <w:bookmarkStart w:id="200" w:name="_Toc12873"/>
      <w:r>
        <w:rPr>
          <w:rFonts w:hint="eastAsia" w:ascii="宋体" w:hAnsi="宋体" w:eastAsia="宋体" w:cs="宋体"/>
          <w:color w:val="auto"/>
          <w:sz w:val="24"/>
          <w:szCs w:val="24"/>
          <w:highlight w:val="none"/>
        </w:rPr>
        <w:t>9.1 对投标人的纪律要求</w:t>
      </w:r>
      <w:bookmarkEnd w:id="195"/>
      <w:bookmarkEnd w:id="196"/>
      <w:bookmarkEnd w:id="197"/>
      <w:bookmarkEnd w:id="198"/>
      <w:bookmarkEnd w:id="199"/>
      <w:bookmarkEnd w:id="200"/>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hint="eastAsia" w:ascii="宋体" w:hAnsi="宋体" w:eastAsia="宋体" w:cs="宋体"/>
          <w:color w:val="auto"/>
          <w:sz w:val="24"/>
          <w:szCs w:val="24"/>
          <w:highlight w:val="none"/>
        </w:rPr>
      </w:pPr>
      <w:bookmarkStart w:id="201" w:name="_Toc5301"/>
      <w:bookmarkStart w:id="202" w:name="_Toc10551"/>
      <w:r>
        <w:rPr>
          <w:rFonts w:hint="eastAsia" w:ascii="宋体" w:hAnsi="宋体" w:eastAsia="宋体" w:cs="宋体"/>
          <w:color w:val="auto"/>
          <w:sz w:val="24"/>
          <w:szCs w:val="24"/>
          <w:highlight w:val="none"/>
        </w:rPr>
        <w:t>9.2 投诉</w:t>
      </w:r>
      <w:bookmarkEnd w:id="201"/>
      <w:bookmarkEnd w:id="202"/>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和其他利害关系人认为本次招标活动违反法律、法规和规章规定的，须在国家相关法律、法规规定的时间内(公示期)以书面形式向有关行政监督部门投诉。投标人应保证提出的质疑内容和相应证明材料的真实性及来源的合法性，并承担相应的法律责任。</w:t>
      </w:r>
    </w:p>
    <w:p>
      <w:pPr>
        <w:pStyle w:val="2"/>
        <w:jc w:val="left"/>
        <w:rPr>
          <w:rFonts w:hint="eastAsia" w:ascii="宋体" w:hAnsi="宋体" w:eastAsia="宋体" w:cs="宋体"/>
          <w:color w:val="auto"/>
          <w:sz w:val="24"/>
          <w:szCs w:val="24"/>
          <w:highlight w:val="none"/>
          <w:lang w:eastAsia="zh-CN"/>
        </w:rPr>
      </w:pPr>
      <w:bookmarkStart w:id="203" w:name="_Toc2339"/>
      <w:bookmarkStart w:id="204" w:name="_Toc26667"/>
      <w:bookmarkStart w:id="205" w:name="_Toc24976"/>
      <w:bookmarkStart w:id="206" w:name="_Toc511220661"/>
      <w:bookmarkStart w:id="207" w:name="_Toc511219777"/>
      <w:r>
        <w:rPr>
          <w:rFonts w:hint="eastAsia" w:ascii="宋体" w:hAnsi="宋体" w:eastAsia="宋体" w:cs="宋体"/>
          <w:color w:val="auto"/>
          <w:sz w:val="24"/>
          <w:szCs w:val="24"/>
          <w:highlight w:val="none"/>
          <w:lang w:eastAsia="zh-CN"/>
        </w:rPr>
        <w:t>10. 需要补充的其他内容</w:t>
      </w:r>
      <w:bookmarkEnd w:id="203"/>
      <w:bookmarkEnd w:id="204"/>
      <w:bookmarkEnd w:id="205"/>
      <w:bookmarkEnd w:id="206"/>
      <w:bookmarkEnd w:id="207"/>
    </w:p>
    <w:p>
      <w:pPr>
        <w:widowControl/>
        <w:rPr>
          <w:rFonts w:hint="eastAsia" w:ascii="宋体" w:hAnsi="宋体" w:eastAsia="宋体" w:cs="宋体"/>
          <w:bCs/>
          <w:color w:val="auto"/>
          <w:kern w:val="44"/>
          <w:sz w:val="24"/>
          <w:szCs w:val="24"/>
          <w:highlight w:val="none"/>
          <w:lang w:eastAsia="zh-CN"/>
        </w:rPr>
      </w:pPr>
      <w:bookmarkStart w:id="208" w:name="_Toc21720"/>
      <w:bookmarkStart w:id="209" w:name="_Toc13863_WPSOffice_Level1"/>
      <w:bookmarkStart w:id="210" w:name="_Toc20934"/>
      <w:bookmarkStart w:id="211" w:name="_Toc29358_WPSOffice_Level1"/>
      <w:r>
        <w:rPr>
          <w:rFonts w:hint="eastAsia" w:ascii="宋体" w:hAnsi="宋体" w:eastAsia="宋体" w:cs="宋体"/>
          <w:bCs/>
          <w:color w:val="auto"/>
          <w:kern w:val="44"/>
          <w:sz w:val="24"/>
          <w:szCs w:val="24"/>
          <w:highlight w:val="none"/>
          <w:lang w:eastAsia="zh-CN"/>
        </w:rPr>
        <w:br w:type="page"/>
      </w:r>
    </w:p>
    <w:p>
      <w:pPr>
        <w:pStyle w:val="3"/>
        <w:rPr>
          <w:rFonts w:hint="eastAsia" w:ascii="宋体" w:hAnsi="宋体" w:eastAsia="宋体" w:cs="宋体"/>
          <w:color w:val="auto"/>
          <w:sz w:val="24"/>
          <w:szCs w:val="24"/>
          <w:highlight w:val="none"/>
          <w:lang w:eastAsia="zh-CN"/>
        </w:rPr>
      </w:pPr>
      <w:bookmarkStart w:id="212" w:name="_Toc9457"/>
      <w:r>
        <w:rPr>
          <w:rFonts w:hint="eastAsia" w:ascii="宋体" w:hAnsi="宋体" w:eastAsia="宋体" w:cs="宋体"/>
          <w:color w:val="auto"/>
          <w:sz w:val="24"/>
          <w:szCs w:val="24"/>
          <w:highlight w:val="none"/>
          <w:lang w:eastAsia="zh-CN"/>
        </w:rPr>
        <w:t>第三章 评标办法（综合评标法）</w:t>
      </w:r>
      <w:bookmarkEnd w:id="208"/>
      <w:bookmarkEnd w:id="209"/>
      <w:bookmarkEnd w:id="210"/>
      <w:bookmarkEnd w:id="211"/>
      <w:bookmarkEnd w:id="212"/>
    </w:p>
    <w:p>
      <w:pPr>
        <w:pStyle w:val="2"/>
        <w:rPr>
          <w:rFonts w:hint="eastAsia" w:ascii="宋体" w:hAnsi="宋体" w:eastAsia="宋体" w:cs="宋体"/>
          <w:color w:val="auto"/>
          <w:sz w:val="24"/>
          <w:szCs w:val="24"/>
          <w:highlight w:val="none"/>
          <w:lang w:eastAsia="zh-CN"/>
        </w:rPr>
      </w:pPr>
      <w:bookmarkStart w:id="213" w:name="_Toc152045599"/>
      <w:bookmarkStart w:id="214" w:name="_Toc152042376"/>
      <w:bookmarkStart w:id="215" w:name="_Toc144974566"/>
      <w:bookmarkStart w:id="216" w:name="_Toc9036"/>
      <w:bookmarkStart w:id="217" w:name="_Toc17648"/>
      <w:bookmarkStart w:id="218" w:name="_Toc15759"/>
      <w:bookmarkStart w:id="219" w:name="_Toc179632617"/>
      <w:bookmarkStart w:id="220" w:name="_Toc9866_WPSOffice_Level1"/>
      <w:bookmarkStart w:id="221" w:name="_Toc6808_WPSOffice_Level1"/>
      <w:bookmarkStart w:id="222" w:name="_Toc27816"/>
      <w:bookmarkStart w:id="223" w:name="_Toc18899"/>
      <w:r>
        <w:rPr>
          <w:rFonts w:hint="eastAsia" w:ascii="宋体" w:hAnsi="宋体" w:eastAsia="宋体" w:cs="宋体"/>
          <w:color w:val="auto"/>
          <w:sz w:val="24"/>
          <w:szCs w:val="24"/>
          <w:highlight w:val="none"/>
          <w:lang w:eastAsia="zh-CN"/>
        </w:rPr>
        <w:t>评标办法前附表</w:t>
      </w:r>
      <w:bookmarkEnd w:id="213"/>
      <w:bookmarkEnd w:id="214"/>
      <w:bookmarkEnd w:id="215"/>
      <w:bookmarkEnd w:id="216"/>
      <w:bookmarkEnd w:id="217"/>
      <w:bookmarkEnd w:id="218"/>
      <w:bookmarkEnd w:id="219"/>
      <w:bookmarkStart w:id="224" w:name="_Toc15987"/>
      <w:bookmarkStart w:id="225" w:name="_Toc7969_WPSOffice_Level2"/>
      <w:bookmarkStart w:id="226" w:name="_Toc10453_WPSOffice_Level2"/>
      <w:bookmarkStart w:id="227" w:name="_Toc20595"/>
    </w:p>
    <w:tbl>
      <w:tblPr>
        <w:tblStyle w:val="3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47"/>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1653" w:type="dxa"/>
            <w:gridSpan w:val="2"/>
            <w:vAlign w:val="center"/>
          </w:tcPr>
          <w:p>
            <w:pPr>
              <w:pStyle w:val="85"/>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456" w:type="dxa"/>
            <w:vAlign w:val="center"/>
          </w:tcPr>
          <w:p>
            <w:pPr>
              <w:pStyle w:val="85"/>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461" w:type="dxa"/>
            <w:vAlign w:val="center"/>
          </w:tcPr>
          <w:p>
            <w:pPr>
              <w:pStyle w:val="85"/>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06" w:type="dxa"/>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7" w:type="dxa"/>
          </w:tcPr>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2456" w:type="dxa"/>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中标候选人排序方法</w:t>
            </w:r>
          </w:p>
        </w:tc>
        <w:tc>
          <w:tcPr>
            <w:tcW w:w="5461" w:type="dxa"/>
          </w:tcPr>
          <w:p>
            <w:pPr>
              <w:pStyle w:val="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按有效投标人得分由高到低顺序推荐中标候选人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06" w:type="dxa"/>
            <w:vMerge w:val="restart"/>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747" w:type="dxa"/>
            <w:vMerge w:val="restart"/>
            <w:vAlign w:val="center"/>
          </w:tcPr>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p>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5461" w:type="dxa"/>
            <w:vAlign w:val="center"/>
          </w:tcPr>
          <w:p>
            <w:pPr>
              <w:pStyle w:val="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投标函签字盖章</w:t>
            </w:r>
          </w:p>
        </w:tc>
        <w:tc>
          <w:tcPr>
            <w:tcW w:w="5461" w:type="dxa"/>
            <w:vAlign w:val="center"/>
          </w:tcPr>
          <w:p>
            <w:pPr>
              <w:pStyle w:val="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有法定代表人或其委托代理人签字或盖章并加盖单位章，符合投标文件格式要求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5461" w:type="dxa"/>
            <w:vAlign w:val="center"/>
          </w:tcPr>
          <w:p>
            <w:pPr>
              <w:pStyle w:val="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restart"/>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747" w:type="dxa"/>
            <w:vMerge w:val="restart"/>
            <w:vAlign w:val="center"/>
          </w:tcPr>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461" w:type="dxa"/>
            <w:vAlign w:val="center"/>
          </w:tcPr>
          <w:p>
            <w:pPr>
              <w:pStyle w:val="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w:t>
            </w:r>
          </w:p>
        </w:tc>
        <w:tc>
          <w:tcPr>
            <w:tcW w:w="5461" w:type="dxa"/>
            <w:vAlign w:val="center"/>
          </w:tcPr>
          <w:p>
            <w:pPr>
              <w:pStyle w:val="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项目经理资格</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其它实质性内容</w:t>
            </w:r>
          </w:p>
        </w:tc>
        <w:tc>
          <w:tcPr>
            <w:tcW w:w="5461" w:type="dxa"/>
            <w:vAlign w:val="center"/>
          </w:tcPr>
          <w:p>
            <w:pPr>
              <w:pStyle w:val="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满足招标文件其它实质性内容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06" w:type="dxa"/>
            <w:vMerge w:val="restart"/>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747" w:type="dxa"/>
            <w:vMerge w:val="restart"/>
            <w:vAlign w:val="center"/>
          </w:tcPr>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性评</w:t>
            </w:r>
          </w:p>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审标</w:t>
            </w:r>
          </w:p>
          <w:p>
            <w:pPr>
              <w:pStyle w:val="85"/>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461"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461"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6"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747" w:type="dxa"/>
            <w:vMerge w:val="continue"/>
            <w:vAlign w:val="center"/>
          </w:tcPr>
          <w:p>
            <w:pPr>
              <w:pStyle w:val="85"/>
              <w:spacing w:line="360" w:lineRule="auto"/>
              <w:jc w:val="center"/>
              <w:rPr>
                <w:rFonts w:hint="eastAsia" w:ascii="宋体" w:hAnsi="宋体" w:eastAsia="宋体" w:cs="宋体"/>
                <w:color w:val="auto"/>
                <w:sz w:val="24"/>
                <w:szCs w:val="24"/>
                <w:highlight w:val="none"/>
              </w:rPr>
            </w:pPr>
          </w:p>
        </w:tc>
        <w:tc>
          <w:tcPr>
            <w:tcW w:w="2456" w:type="dxa"/>
            <w:vAlign w:val="center"/>
          </w:tcPr>
          <w:p>
            <w:pPr>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c>
          <w:tcPr>
            <w:tcW w:w="5461"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w:t>
            </w:r>
          </w:p>
        </w:tc>
      </w:tr>
    </w:tbl>
    <w:p>
      <w:pPr>
        <w:rPr>
          <w:rFonts w:hint="eastAsia" w:ascii="宋体" w:hAnsi="宋体" w:eastAsia="宋体" w:cs="宋体"/>
          <w:color w:val="auto"/>
          <w:sz w:val="24"/>
          <w:szCs w:val="24"/>
          <w:highlight w:val="none"/>
          <w:lang w:eastAsia="zh-CN"/>
        </w:rPr>
      </w:pPr>
    </w:p>
    <w:p>
      <w:pPr>
        <w:autoSpaceDE w:val="0"/>
        <w:autoSpaceDN w:val="0"/>
        <w:adjustRightInd w:val="0"/>
        <w:spacing w:line="360" w:lineRule="auto"/>
        <w:rPr>
          <w:rFonts w:hint="eastAsia" w:ascii="宋体" w:hAnsi="宋体" w:eastAsia="宋体" w:cs="宋体"/>
          <w:b/>
          <w:bCs/>
          <w:color w:val="auto"/>
          <w:sz w:val="24"/>
          <w:szCs w:val="24"/>
          <w:highlight w:val="none"/>
          <w:lang w:eastAsia="zh-CN"/>
        </w:rPr>
        <w:sectPr>
          <w:footerReference r:id="rId7" w:type="default"/>
          <w:pgSz w:w="11907" w:h="16840"/>
          <w:pgMar w:top="1500" w:right="1580" w:bottom="1120" w:left="1700" w:header="0" w:footer="921" w:gutter="0"/>
          <w:pgNumType w:fmt="decimal"/>
          <w:cols w:space="720" w:num="1"/>
        </w:sectPr>
      </w:pPr>
    </w:p>
    <w:p>
      <w:pPr>
        <w:autoSpaceDE w:val="0"/>
        <w:autoSpaceDN w:val="0"/>
        <w:adjustRightIn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一、商务标</w:t>
      </w:r>
    </w:p>
    <w:p>
      <w:pPr>
        <w:autoSpaceDE w:val="0"/>
        <w:autoSpaceDN w:val="0"/>
        <w:adjustRightIn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1、商务标满分为60分，其中：投标报价评分占50分，投标人综合实力占10分。</w:t>
      </w:r>
    </w:p>
    <w:p>
      <w:pPr>
        <w:autoSpaceDE w:val="0"/>
        <w:autoSpaceDN w:val="0"/>
        <w:adjustRightIn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2、投标报价评分分值：50分</w:t>
      </w:r>
    </w:p>
    <w:tbl>
      <w:tblPr>
        <w:tblStyle w:val="35"/>
        <w:tblpPr w:leftFromText="180" w:rightFromText="180" w:vertAnchor="text" w:horzAnchor="margin" w:tblpY="261"/>
        <w:tblW w:w="8580" w:type="dxa"/>
        <w:tblInd w:w="0" w:type="dxa"/>
        <w:tblLayout w:type="autofit"/>
        <w:tblCellMar>
          <w:top w:w="0" w:type="dxa"/>
          <w:left w:w="108" w:type="dxa"/>
          <w:bottom w:w="0" w:type="dxa"/>
          <w:right w:w="108" w:type="dxa"/>
        </w:tblCellMar>
      </w:tblPr>
      <w:tblGrid>
        <w:gridCol w:w="1950"/>
        <w:gridCol w:w="1880"/>
        <w:gridCol w:w="4750"/>
      </w:tblGrid>
      <w:tr>
        <w:tblPrEx>
          <w:tblCellMar>
            <w:top w:w="0" w:type="dxa"/>
            <w:left w:w="108" w:type="dxa"/>
            <w:bottom w:w="0" w:type="dxa"/>
            <w:right w:w="108" w:type="dxa"/>
          </w:tblCellMar>
        </w:tblPrEx>
        <w:trPr>
          <w:trHeight w:val="2706" w:hRule="atLeast"/>
        </w:trPr>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val="0"/>
              <w:wordWrap/>
              <w:overflowPunct w:val="0"/>
              <w:topLinePunct w:val="0"/>
              <w:autoSpaceDE/>
              <w:autoSpaceDN/>
              <w:bidi w:val="0"/>
              <w:adjustRightInd/>
              <w:snapToGrid/>
              <w:spacing w:before="162" w:line="240" w:lineRule="auto"/>
              <w:ind w:left="232"/>
              <w:textAlignment w:val="auto"/>
              <w:rPr>
                <w:rFonts w:hint="eastAsia" w:ascii="宋体" w:hAnsi="宋体" w:eastAsia="宋体" w:cs="宋体"/>
                <w:color w:val="auto"/>
                <w:position w:val="-6"/>
                <w:sz w:val="24"/>
                <w:szCs w:val="24"/>
                <w:highlight w:val="none"/>
                <w:lang w:eastAsia="zh-CN"/>
              </w:rPr>
            </w:pPr>
            <w:bookmarkStart w:id="228" w:name="_Hlk44689463"/>
            <w:r>
              <w:rPr>
                <w:rFonts w:hint="eastAsia" w:ascii="宋体" w:hAnsi="宋体" w:eastAsia="宋体" w:cs="宋体"/>
                <w:color w:val="auto"/>
                <w:position w:val="-6"/>
                <w:sz w:val="24"/>
                <w:szCs w:val="24"/>
                <w:highlight w:val="none"/>
                <w:lang w:eastAsia="zh-CN"/>
              </w:rPr>
              <w:t>投标报价评分</w:t>
            </w:r>
            <w:bookmarkEnd w:id="228"/>
            <w:r>
              <w:rPr>
                <w:rFonts w:hint="eastAsia" w:ascii="宋体" w:hAnsi="宋体" w:eastAsia="宋体" w:cs="宋体"/>
                <w:color w:val="auto"/>
                <w:position w:val="-6"/>
                <w:sz w:val="24"/>
                <w:szCs w:val="24"/>
                <w:highlight w:val="none"/>
                <w:lang w:eastAsia="zh-CN"/>
              </w:rPr>
              <w:t>标准（50分）</w:t>
            </w:r>
          </w:p>
        </w:tc>
        <w:tc>
          <w:tcPr>
            <w:tcW w:w="1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val="0"/>
              <w:topLinePunct w:val="0"/>
              <w:autoSpaceDE/>
              <w:autoSpaceDN/>
              <w:bidi w:val="0"/>
              <w:adjustRightInd/>
              <w:snapToGrid/>
              <w:spacing w:before="125" w:line="360" w:lineRule="auto"/>
              <w:jc w:val="center"/>
              <w:textAlignment w:val="auto"/>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评标基准价计算方法</w:t>
            </w:r>
          </w:p>
        </w:tc>
        <w:tc>
          <w:tcPr>
            <w:tcW w:w="4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val="0"/>
              <w:topLinePunct w:val="0"/>
              <w:autoSpaceDE/>
              <w:autoSpaceDN/>
              <w:bidi w:val="0"/>
              <w:adjustRightInd/>
              <w:snapToGrid/>
              <w:spacing w:before="125" w:line="360" w:lineRule="auto"/>
              <w:jc w:val="left"/>
              <w:textAlignment w:val="auto"/>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val="en-US" w:eastAsia="zh-CN"/>
              </w:rPr>
              <w:t>1.</w:t>
            </w:r>
            <w:r>
              <w:rPr>
                <w:rFonts w:hint="eastAsia" w:ascii="宋体" w:hAnsi="宋体" w:eastAsia="宋体" w:cs="宋体"/>
                <w:color w:val="auto"/>
                <w:position w:val="-6"/>
                <w:sz w:val="24"/>
                <w:szCs w:val="24"/>
                <w:highlight w:val="none"/>
                <w:lang w:eastAsia="zh-CN"/>
              </w:rPr>
              <w:t>若参与评标基准价计算的有效投标人少于</w:t>
            </w:r>
            <w:r>
              <w:rPr>
                <w:rFonts w:hint="eastAsia" w:ascii="宋体" w:hAnsi="宋体" w:eastAsia="宋体" w:cs="宋体"/>
                <w:color w:val="auto"/>
                <w:position w:val="-6"/>
                <w:sz w:val="24"/>
                <w:szCs w:val="24"/>
                <w:highlight w:val="none"/>
                <w:lang w:val="en-US" w:eastAsia="zh-CN"/>
              </w:rPr>
              <w:t>5</w:t>
            </w:r>
            <w:r>
              <w:rPr>
                <w:rFonts w:hint="eastAsia" w:ascii="宋体" w:hAnsi="宋体" w:eastAsia="宋体" w:cs="宋体"/>
                <w:color w:val="auto"/>
                <w:position w:val="-6"/>
                <w:sz w:val="24"/>
                <w:szCs w:val="24"/>
                <w:highlight w:val="none"/>
                <w:lang w:eastAsia="zh-CN"/>
              </w:rPr>
              <w:t>家，评标基准价为各投标人有效投标报价的算术平均值。</w:t>
            </w:r>
          </w:p>
          <w:p>
            <w:pPr>
              <w:keepNext w:val="0"/>
              <w:keepLines w:val="0"/>
              <w:pageBreakBefore w:val="0"/>
              <w:widowControl w:val="0"/>
              <w:kinsoku w:val="0"/>
              <w:wordWrap/>
              <w:overflowPunct w:val="0"/>
              <w:topLinePunct w:val="0"/>
              <w:autoSpaceDE/>
              <w:autoSpaceDN/>
              <w:bidi w:val="0"/>
              <w:adjustRightInd/>
              <w:snapToGrid/>
              <w:spacing w:before="125" w:line="360" w:lineRule="auto"/>
              <w:jc w:val="left"/>
              <w:textAlignment w:val="auto"/>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val="en-US" w:eastAsia="zh-CN"/>
              </w:rPr>
              <w:t>2.</w:t>
            </w:r>
            <w:r>
              <w:rPr>
                <w:rFonts w:hint="eastAsia" w:ascii="宋体" w:hAnsi="宋体" w:eastAsia="宋体" w:cs="宋体"/>
                <w:color w:val="auto"/>
                <w:position w:val="-6"/>
                <w:sz w:val="24"/>
                <w:szCs w:val="24"/>
                <w:highlight w:val="none"/>
                <w:lang w:eastAsia="zh-CN"/>
              </w:rPr>
              <w:t>若参与评标基准价计算的有效投标人大于等于</w:t>
            </w:r>
            <w:r>
              <w:rPr>
                <w:rFonts w:hint="eastAsia" w:ascii="宋体" w:hAnsi="宋体" w:eastAsia="宋体" w:cs="宋体"/>
                <w:color w:val="auto"/>
                <w:position w:val="-6"/>
                <w:sz w:val="24"/>
                <w:szCs w:val="24"/>
                <w:highlight w:val="none"/>
                <w:lang w:val="en-US" w:eastAsia="zh-CN"/>
              </w:rPr>
              <w:t>5</w:t>
            </w:r>
            <w:r>
              <w:rPr>
                <w:rFonts w:hint="eastAsia" w:ascii="宋体" w:hAnsi="宋体" w:eastAsia="宋体" w:cs="宋体"/>
                <w:color w:val="auto"/>
                <w:position w:val="-6"/>
                <w:sz w:val="24"/>
                <w:szCs w:val="24"/>
                <w:highlight w:val="none"/>
                <w:lang w:eastAsia="zh-CN"/>
              </w:rPr>
              <w:t>家时，评标基准价为各投标人有效投标报价去掉一个最高和一个最低报价后的算术平均值。</w:t>
            </w:r>
          </w:p>
        </w:tc>
      </w:tr>
      <w:tr>
        <w:tblPrEx>
          <w:tblCellMar>
            <w:top w:w="0" w:type="dxa"/>
            <w:left w:w="108" w:type="dxa"/>
            <w:bottom w:w="0" w:type="dxa"/>
            <w:right w:w="108" w:type="dxa"/>
          </w:tblCellMar>
        </w:tblPrEx>
        <w:trPr>
          <w:trHeight w:val="90" w:hRule="atLeast"/>
        </w:trPr>
        <w:tc>
          <w:tcPr>
            <w:tcW w:w="1950" w:type="dxa"/>
            <w:vMerge w:val="continue"/>
            <w:tcBorders>
              <w:left w:val="single" w:color="auto" w:sz="4" w:space="0"/>
              <w:right w:val="single" w:color="auto" w:sz="4" w:space="0"/>
            </w:tcBorders>
          </w:tcPr>
          <w:p>
            <w:pPr>
              <w:kinsoku w:val="0"/>
              <w:overflowPunct w:val="0"/>
              <w:spacing w:before="157"/>
              <w:jc w:val="center"/>
              <w:rPr>
                <w:rFonts w:hint="eastAsia" w:ascii="宋体" w:hAnsi="宋体" w:eastAsia="宋体" w:cs="宋体"/>
                <w:color w:val="auto"/>
                <w:position w:val="-6"/>
                <w:sz w:val="24"/>
                <w:szCs w:val="24"/>
                <w:highlight w:val="none"/>
                <w:lang w:eastAsia="zh-CN"/>
              </w:rPr>
            </w:pPr>
          </w:p>
        </w:tc>
        <w:tc>
          <w:tcPr>
            <w:tcW w:w="18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投标报价得分</w:t>
            </w:r>
          </w:p>
          <w:p>
            <w:pPr>
              <w:snapToGrid w:val="0"/>
              <w:spacing w:line="360" w:lineRule="exact"/>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分）</w:t>
            </w:r>
          </w:p>
        </w:tc>
        <w:tc>
          <w:tcPr>
            <w:tcW w:w="4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eastAsia="宋体" w:cs="宋体"/>
                <w:color w:val="auto"/>
                <w:position w:val="-6"/>
                <w:sz w:val="24"/>
                <w:szCs w:val="24"/>
                <w:highlight w:val="none"/>
                <w:lang w:val="en-US" w:eastAsia="zh-CN"/>
              </w:rPr>
            </w:pPr>
            <w:r>
              <w:rPr>
                <w:rFonts w:hint="eastAsia" w:ascii="宋体" w:hAnsi="宋体" w:eastAsia="宋体" w:cs="宋体"/>
                <w:color w:val="auto"/>
                <w:position w:val="-6"/>
                <w:sz w:val="24"/>
                <w:szCs w:val="24"/>
                <w:highlight w:val="none"/>
                <w:lang w:val="en-US" w:eastAsia="zh-CN"/>
              </w:rPr>
              <w:t>1.</w:t>
            </w:r>
            <w:r>
              <w:rPr>
                <w:rFonts w:hint="eastAsia" w:ascii="宋体" w:hAnsi="宋体" w:eastAsia="宋体" w:cs="宋体"/>
                <w:color w:val="auto"/>
                <w:sz w:val="24"/>
                <w:szCs w:val="24"/>
                <w:highlight w:val="none"/>
                <w:lang w:val="en-US" w:eastAsia="zh-CN"/>
              </w:rPr>
              <w:t>偏差率=100%×（响应报价-评标基准价）/评标基准价</w:t>
            </w:r>
          </w:p>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val="en-US" w:eastAsia="zh-CN"/>
              </w:rPr>
              <w:t>2.</w:t>
            </w:r>
            <w:r>
              <w:rPr>
                <w:rFonts w:hint="eastAsia" w:cs="宋体"/>
                <w:color w:val="auto"/>
                <w:position w:val="-6"/>
                <w:sz w:val="24"/>
                <w:szCs w:val="24"/>
                <w:highlight w:val="none"/>
                <w:lang w:eastAsia="zh-CN"/>
              </w:rPr>
              <w:t>投标人</w:t>
            </w:r>
            <w:r>
              <w:rPr>
                <w:rFonts w:hint="eastAsia" w:ascii="宋体" w:hAnsi="宋体" w:eastAsia="宋体" w:cs="宋体"/>
                <w:color w:val="auto"/>
                <w:position w:val="-6"/>
                <w:sz w:val="24"/>
                <w:szCs w:val="24"/>
                <w:highlight w:val="none"/>
                <w:lang w:eastAsia="zh-CN"/>
              </w:rPr>
              <w:t>的评标价等于基准值时得基本分4</w:t>
            </w:r>
            <w:r>
              <w:rPr>
                <w:rFonts w:hint="eastAsia" w:ascii="宋体" w:hAnsi="宋体" w:eastAsia="宋体" w:cs="宋体"/>
                <w:color w:val="auto"/>
                <w:position w:val="-6"/>
                <w:sz w:val="24"/>
                <w:szCs w:val="24"/>
                <w:highlight w:val="none"/>
                <w:lang w:val="en-US" w:eastAsia="zh-CN"/>
              </w:rPr>
              <w:t>0</w:t>
            </w:r>
            <w:r>
              <w:rPr>
                <w:rFonts w:hint="eastAsia" w:ascii="宋体" w:hAnsi="宋体" w:eastAsia="宋体" w:cs="宋体"/>
                <w:color w:val="auto"/>
                <w:position w:val="-6"/>
                <w:sz w:val="24"/>
                <w:szCs w:val="24"/>
                <w:highlight w:val="none"/>
                <w:lang w:eastAsia="zh-CN"/>
              </w:rPr>
              <w:t>分。</w:t>
            </w:r>
          </w:p>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val="en-US" w:eastAsia="zh-CN"/>
              </w:rPr>
              <w:t>3.</w:t>
            </w:r>
            <w:r>
              <w:rPr>
                <w:rFonts w:hint="eastAsia" w:ascii="宋体" w:hAnsi="宋体" w:eastAsia="宋体" w:cs="宋体"/>
                <w:color w:val="auto"/>
                <w:position w:val="-6"/>
                <w:sz w:val="24"/>
                <w:szCs w:val="24"/>
                <w:highlight w:val="none"/>
                <w:lang w:eastAsia="zh-CN"/>
              </w:rPr>
              <w:t>评标价低于基准值10％以内者（含10％），每低1％，在基本分</w:t>
            </w:r>
            <w:r>
              <w:rPr>
                <w:rFonts w:hint="eastAsia" w:ascii="宋体" w:hAnsi="宋体" w:eastAsia="宋体" w:cs="宋体"/>
                <w:color w:val="auto"/>
                <w:position w:val="-6"/>
                <w:sz w:val="24"/>
                <w:szCs w:val="24"/>
                <w:highlight w:val="none"/>
                <w:lang w:val="en-US" w:eastAsia="zh-CN"/>
              </w:rPr>
              <w:t>40</w:t>
            </w:r>
            <w:r>
              <w:rPr>
                <w:rFonts w:hint="eastAsia" w:ascii="宋体" w:hAnsi="宋体" w:eastAsia="宋体" w:cs="宋体"/>
                <w:color w:val="auto"/>
                <w:position w:val="-6"/>
                <w:sz w:val="24"/>
                <w:szCs w:val="24"/>
                <w:highlight w:val="none"/>
                <w:lang w:eastAsia="zh-CN"/>
              </w:rPr>
              <w:t>分的基础上加0.5分，最多加5分。</w:t>
            </w:r>
          </w:p>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val="en-US" w:eastAsia="zh-CN"/>
              </w:rPr>
              <w:t>4.</w:t>
            </w:r>
            <w:r>
              <w:rPr>
                <w:rFonts w:hint="eastAsia" w:ascii="宋体" w:hAnsi="宋体" w:eastAsia="宋体" w:cs="宋体"/>
                <w:color w:val="auto"/>
                <w:position w:val="-6"/>
                <w:sz w:val="24"/>
                <w:szCs w:val="24"/>
                <w:highlight w:val="none"/>
                <w:lang w:eastAsia="zh-CN"/>
              </w:rPr>
              <w:t>评标价低于基准值10％以外者（不含10％），每再低1％，在满分</w:t>
            </w:r>
            <w:r>
              <w:rPr>
                <w:rFonts w:hint="eastAsia" w:ascii="宋体" w:hAnsi="宋体" w:eastAsia="宋体" w:cs="宋体"/>
                <w:color w:val="auto"/>
                <w:position w:val="-6"/>
                <w:sz w:val="24"/>
                <w:szCs w:val="24"/>
                <w:highlight w:val="none"/>
                <w:lang w:val="en-US" w:eastAsia="zh-CN"/>
              </w:rPr>
              <w:t>45</w:t>
            </w:r>
            <w:r>
              <w:rPr>
                <w:rFonts w:hint="eastAsia" w:ascii="宋体" w:hAnsi="宋体" w:eastAsia="宋体" w:cs="宋体"/>
                <w:color w:val="auto"/>
                <w:position w:val="-6"/>
                <w:sz w:val="24"/>
                <w:szCs w:val="24"/>
                <w:highlight w:val="none"/>
                <w:lang w:eastAsia="zh-CN"/>
              </w:rPr>
              <w:t>分的基础上扣0.5分，最多扣5分。</w:t>
            </w:r>
          </w:p>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val="en-US" w:eastAsia="zh-CN"/>
              </w:rPr>
              <w:t>5.</w:t>
            </w:r>
            <w:r>
              <w:rPr>
                <w:rFonts w:hint="eastAsia" w:cs="宋体"/>
                <w:color w:val="auto"/>
                <w:position w:val="-6"/>
                <w:sz w:val="24"/>
                <w:szCs w:val="24"/>
                <w:highlight w:val="none"/>
                <w:lang w:eastAsia="zh-CN"/>
              </w:rPr>
              <w:t>投标人</w:t>
            </w:r>
            <w:r>
              <w:rPr>
                <w:rFonts w:hint="eastAsia" w:ascii="宋体" w:hAnsi="宋体" w:eastAsia="宋体" w:cs="宋体"/>
                <w:color w:val="auto"/>
                <w:position w:val="-6"/>
                <w:sz w:val="24"/>
                <w:szCs w:val="24"/>
                <w:highlight w:val="none"/>
                <w:lang w:eastAsia="zh-CN"/>
              </w:rPr>
              <w:t>评标价高于基准值时，每高1％，在基本分4</w:t>
            </w:r>
            <w:r>
              <w:rPr>
                <w:rFonts w:hint="eastAsia" w:ascii="宋体" w:hAnsi="宋体" w:eastAsia="宋体" w:cs="宋体"/>
                <w:color w:val="auto"/>
                <w:position w:val="-6"/>
                <w:sz w:val="24"/>
                <w:szCs w:val="24"/>
                <w:highlight w:val="none"/>
                <w:lang w:val="en-US" w:eastAsia="zh-CN"/>
              </w:rPr>
              <w:t>0</w:t>
            </w:r>
            <w:r>
              <w:rPr>
                <w:rFonts w:hint="eastAsia" w:ascii="宋体" w:hAnsi="宋体" w:eastAsia="宋体" w:cs="宋体"/>
                <w:color w:val="auto"/>
                <w:position w:val="-6"/>
                <w:sz w:val="24"/>
                <w:szCs w:val="24"/>
                <w:highlight w:val="none"/>
                <w:lang w:eastAsia="zh-CN"/>
              </w:rPr>
              <w:t>分的基础上扣0.5分，最多扣5分。</w:t>
            </w:r>
          </w:p>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eastAsia="zh-CN"/>
              </w:rPr>
              <w:t>注：响应单位自行参照采购文件技术规格的要求，考虑设备采购种类和数量以及相应的服务情况，并自行报价。</w:t>
            </w:r>
          </w:p>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cs="宋体"/>
                <w:color w:val="auto"/>
                <w:position w:val="-6"/>
                <w:sz w:val="24"/>
                <w:szCs w:val="24"/>
                <w:highlight w:val="none"/>
                <w:lang w:eastAsia="zh-CN"/>
              </w:rPr>
              <w:t>投标人</w:t>
            </w:r>
            <w:r>
              <w:rPr>
                <w:rFonts w:hint="eastAsia" w:ascii="宋体" w:hAnsi="宋体" w:eastAsia="宋体" w:cs="宋体"/>
                <w:color w:val="auto"/>
                <w:position w:val="-6"/>
                <w:sz w:val="24"/>
                <w:szCs w:val="24"/>
                <w:highlight w:val="none"/>
                <w:lang w:eastAsia="zh-CN"/>
              </w:rPr>
              <w:t>在报价时必须合理规划，充分考虑，将所有可能发生的费用，全部计入响应报价，若实施阶段因为</w:t>
            </w:r>
            <w:r>
              <w:rPr>
                <w:rFonts w:hint="eastAsia" w:cs="宋体"/>
                <w:color w:val="auto"/>
                <w:position w:val="-6"/>
                <w:sz w:val="24"/>
                <w:szCs w:val="24"/>
                <w:highlight w:val="none"/>
                <w:lang w:eastAsia="zh-CN"/>
              </w:rPr>
              <w:t>投标人</w:t>
            </w:r>
            <w:r>
              <w:rPr>
                <w:rFonts w:hint="eastAsia" w:ascii="宋体" w:hAnsi="宋体" w:eastAsia="宋体" w:cs="宋体"/>
                <w:color w:val="auto"/>
                <w:position w:val="-6"/>
                <w:sz w:val="24"/>
                <w:szCs w:val="24"/>
                <w:highlight w:val="none"/>
                <w:lang w:eastAsia="zh-CN"/>
              </w:rPr>
              <w:t>自行考虑报价情况不够充分，报价遗漏，由</w:t>
            </w:r>
            <w:r>
              <w:rPr>
                <w:rFonts w:hint="eastAsia" w:cs="宋体"/>
                <w:color w:val="auto"/>
                <w:position w:val="-6"/>
                <w:sz w:val="24"/>
                <w:szCs w:val="24"/>
                <w:highlight w:val="none"/>
                <w:lang w:eastAsia="zh-CN"/>
              </w:rPr>
              <w:t>投标人</w:t>
            </w:r>
            <w:r>
              <w:rPr>
                <w:rFonts w:hint="eastAsia" w:ascii="宋体" w:hAnsi="宋体" w:eastAsia="宋体" w:cs="宋体"/>
                <w:color w:val="auto"/>
                <w:position w:val="-6"/>
                <w:sz w:val="24"/>
                <w:szCs w:val="24"/>
                <w:highlight w:val="none"/>
                <w:lang w:eastAsia="zh-CN"/>
              </w:rPr>
              <w:t>自行负责。</w:t>
            </w:r>
          </w:p>
        </w:tc>
      </w:tr>
      <w:tr>
        <w:tblPrEx>
          <w:tblCellMar>
            <w:top w:w="0" w:type="dxa"/>
            <w:left w:w="108" w:type="dxa"/>
            <w:bottom w:w="0" w:type="dxa"/>
            <w:right w:w="108" w:type="dxa"/>
          </w:tblCellMar>
        </w:tblPrEx>
        <w:trPr>
          <w:trHeight w:val="3939" w:hRule="atLeast"/>
        </w:trPr>
        <w:tc>
          <w:tcPr>
            <w:tcW w:w="1950"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bidi="ar-SA"/>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分部分项工程项目清单单价评审（</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47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eastAsia="zh-CN"/>
              </w:rPr>
              <w:t>从招标控制价中分部分项工程项目权重最大的前20项清单项目中抽取5项，在剩余的分部分项工程项目清单项目中抽取5项。</w:t>
            </w:r>
          </w:p>
          <w:p>
            <w:pPr>
              <w:snapToGrid w:val="0"/>
              <w:spacing w:line="360" w:lineRule="auto"/>
              <w:jc w:val="both"/>
              <w:rPr>
                <w:rFonts w:hint="eastAsia" w:ascii="宋体" w:hAnsi="宋体" w:eastAsia="宋体" w:cs="宋体"/>
                <w:color w:val="auto"/>
                <w:position w:val="-6"/>
                <w:sz w:val="24"/>
                <w:szCs w:val="24"/>
                <w:highlight w:val="none"/>
                <w:lang w:eastAsia="zh-CN"/>
              </w:rPr>
            </w:pPr>
            <w:r>
              <w:rPr>
                <w:rFonts w:hint="eastAsia" w:ascii="宋体" w:hAnsi="宋体" w:eastAsia="宋体" w:cs="宋体"/>
                <w:color w:val="auto"/>
                <w:position w:val="-6"/>
                <w:sz w:val="24"/>
                <w:szCs w:val="24"/>
                <w:highlight w:val="none"/>
                <w:lang w:eastAsia="zh-CN"/>
              </w:rPr>
              <w:t>综合单价基准值是以各有效投标报价中对应抽取清单项目综合单价的算术平均值。</w:t>
            </w:r>
          </w:p>
          <w:p>
            <w:pPr>
              <w:snapToGrid w:val="0"/>
              <w:spacing w:line="360" w:lineRule="auto"/>
              <w:jc w:val="both"/>
              <w:rPr>
                <w:rFonts w:hint="eastAsia" w:ascii="宋体" w:hAnsi="宋体" w:eastAsia="宋体" w:cs="宋体"/>
                <w:bCs/>
                <w:color w:val="auto"/>
                <w:sz w:val="24"/>
                <w:szCs w:val="24"/>
                <w:highlight w:val="none"/>
                <w:lang w:val="en-US" w:eastAsia="zh-CN" w:bidi="ar-SA"/>
              </w:rPr>
            </w:pPr>
            <w:r>
              <w:rPr>
                <w:rFonts w:hint="eastAsia" w:ascii="宋体" w:hAnsi="宋体" w:eastAsia="宋体" w:cs="宋体"/>
                <w:color w:val="auto"/>
                <w:position w:val="-6"/>
                <w:sz w:val="24"/>
                <w:szCs w:val="24"/>
                <w:highlight w:val="none"/>
                <w:lang w:eastAsia="zh-CN"/>
              </w:rPr>
              <w:t>投标人报价在综合单价基准值95%–103%范围内（不含95%和103%）的，每项得0.5分；在综合单价基准值90%–95%范围内（含90%和95%）每项得0.3分。满分共计5分。超出该范围的不得分。</w:t>
            </w:r>
          </w:p>
        </w:tc>
      </w:tr>
    </w:tbl>
    <w:p>
      <w:pPr>
        <w:autoSpaceDE w:val="0"/>
        <w:autoSpaceDN w:val="0"/>
        <w:adjustRightInd w:val="0"/>
        <w:spacing w:line="360" w:lineRule="auto"/>
        <w:rPr>
          <w:rFonts w:hint="eastAsia" w:ascii="宋体" w:hAnsi="宋体" w:eastAsia="宋体" w:cs="宋体"/>
          <w:color w:val="auto"/>
          <w:sz w:val="24"/>
          <w:szCs w:val="24"/>
          <w:highlight w:val="none"/>
          <w:lang w:eastAsia="zh-CN"/>
        </w:rPr>
        <w:sectPr>
          <w:pgSz w:w="11907" w:h="16840"/>
          <w:pgMar w:top="1500" w:right="1580" w:bottom="1120" w:left="1700" w:header="0" w:footer="921" w:gutter="0"/>
          <w:pgNumType w:fmt="decimal"/>
          <w:cols w:space="720" w:num="1"/>
        </w:sectPr>
      </w:pPr>
    </w:p>
    <w:p>
      <w:p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b/>
          <w:bCs/>
          <w:color w:val="auto"/>
          <w:sz w:val="24"/>
          <w:szCs w:val="24"/>
          <w:highlight w:val="none"/>
          <w:lang w:eastAsia="zh-CN"/>
        </w:rPr>
        <w:t>投标人综合实力评价分值：10分</w:t>
      </w:r>
    </w:p>
    <w:tbl>
      <w:tblPr>
        <w:tblStyle w:val="35"/>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7"/>
        <w:gridCol w:w="1260"/>
        <w:gridCol w:w="889"/>
        <w:gridCol w:w="5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92"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05"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w:t>
            </w:r>
          </w:p>
        </w:tc>
        <w:tc>
          <w:tcPr>
            <w:tcW w:w="703"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评定项目</w:t>
            </w:r>
          </w:p>
        </w:tc>
        <w:tc>
          <w:tcPr>
            <w:tcW w:w="496"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001"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392" w:type="pct"/>
            <w:vMerge w:val="restart"/>
            <w:tcBorders>
              <w:top w:val="single" w:color="auto" w:sz="4" w:space="0"/>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企业综合实力</w:t>
            </w:r>
          </w:p>
        </w:tc>
        <w:tc>
          <w:tcPr>
            <w:tcW w:w="405" w:type="pct"/>
            <w:vMerge w:val="restart"/>
            <w:tcBorders>
              <w:top w:val="single" w:color="auto" w:sz="4" w:space="0"/>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0</w:t>
            </w:r>
          </w:p>
        </w:tc>
        <w:tc>
          <w:tcPr>
            <w:tcW w:w="703" w:type="pct"/>
            <w:tcBorders>
              <w:top w:val="single" w:color="auto" w:sz="4" w:space="0"/>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企业业绩</w:t>
            </w:r>
          </w:p>
        </w:tc>
        <w:tc>
          <w:tcPr>
            <w:tcW w:w="496" w:type="pct"/>
            <w:tcBorders>
              <w:top w:val="single" w:color="auto" w:sz="4" w:space="0"/>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4分</w:t>
            </w:r>
          </w:p>
        </w:tc>
        <w:tc>
          <w:tcPr>
            <w:tcW w:w="3001" w:type="pct"/>
            <w:tcBorders>
              <w:top w:val="single" w:color="auto" w:sz="4" w:space="0"/>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投标人每提供一个资格条件标准的业绩（</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eastAsia="zh-CN"/>
              </w:rPr>
              <w:t>含资格项）得2分，最多得4分。</w:t>
            </w:r>
          </w:p>
          <w:p>
            <w:p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（投标文件中需附合同复印件）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392"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405"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703" w:type="pct"/>
            <w:tcBorders>
              <w:top w:val="single" w:color="auto" w:sz="4" w:space="0"/>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项目经理业绩</w:t>
            </w:r>
          </w:p>
        </w:tc>
        <w:tc>
          <w:tcPr>
            <w:tcW w:w="496"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2分</w:t>
            </w:r>
          </w:p>
        </w:tc>
        <w:tc>
          <w:tcPr>
            <w:tcW w:w="3001"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投标人每提供一个项目经理资格条件标准的业绩（</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eastAsia="zh-CN"/>
              </w:rPr>
              <w:t>含资格项）得1分，最多得2分。</w:t>
            </w:r>
          </w:p>
          <w:p>
            <w:p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（投标文件中需附注明项目经理的施工合同或业主方开具的项目经理业绩证明资料复印件，企业业绩与项目经理业绩可以为同一业绩）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392"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405"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703"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eastAsia="zh-CN"/>
              </w:rPr>
              <w:t>体系认证</w:t>
            </w:r>
          </w:p>
        </w:tc>
        <w:tc>
          <w:tcPr>
            <w:tcW w:w="496"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1分</w:t>
            </w:r>
          </w:p>
        </w:tc>
        <w:tc>
          <w:tcPr>
            <w:tcW w:w="3001"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企业同时具备完整的质量、职业健康、环境三体系认证（投标文件中需附证书复印件）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392"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405"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703"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信用等级</w:t>
            </w:r>
          </w:p>
        </w:tc>
        <w:tc>
          <w:tcPr>
            <w:tcW w:w="496"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c>
          <w:tcPr>
            <w:tcW w:w="3001"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具备AAA企业信用等级证书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（投标文件中需附证书复印件）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trPr>
        <w:tc>
          <w:tcPr>
            <w:tcW w:w="392"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405" w:type="pct"/>
            <w:vMerge w:val="continue"/>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p>
        </w:tc>
        <w:tc>
          <w:tcPr>
            <w:tcW w:w="703" w:type="pc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履职尽责</w:t>
            </w:r>
            <w:r>
              <w:rPr>
                <w:rFonts w:hint="eastAsia" w:ascii="宋体" w:hAnsi="宋体" w:eastAsia="宋体" w:cs="宋体"/>
                <w:color w:val="auto"/>
                <w:sz w:val="24"/>
                <w:szCs w:val="24"/>
                <w:highlight w:val="none"/>
              </w:rPr>
              <w:t>承诺</w:t>
            </w:r>
          </w:p>
        </w:tc>
        <w:tc>
          <w:tcPr>
            <w:tcW w:w="496"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2分</w:t>
            </w:r>
          </w:p>
        </w:tc>
        <w:tc>
          <w:tcPr>
            <w:tcW w:w="3001" w:type="pct"/>
            <w:tcBorders>
              <w:left w:val="single" w:color="auto" w:sz="4" w:space="0"/>
              <w:right w:val="single" w:color="auto" w:sz="4" w:space="0"/>
            </w:tcBorders>
            <w:vAlign w:val="center"/>
          </w:tcPr>
          <w:p>
            <w:pPr>
              <w:bidi w:val="0"/>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针对本采购工程的特点和要求，结合自身的条件和潜力，对以下做出相应承诺：</w:t>
            </w:r>
          </w:p>
          <w:p>
            <w:pPr>
              <w:bidi w:val="0"/>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针对本项目协助发包人做好施工现场协调等工作，并有实质性承诺。（ 0.5分 ）</w:t>
            </w:r>
          </w:p>
          <w:p>
            <w:pPr>
              <w:bidi w:val="0"/>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关键岗位人员（（项目经理、技术负责人及相关技术人员、质量员、安全员、材料员、检测员等）在岗履职尽责，并有实质性承诺。（ 0.5分 ）</w:t>
            </w:r>
          </w:p>
          <w:p>
            <w:pPr>
              <w:bidi w:val="0"/>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（3）</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针对本项目资金支持承诺。（根据资金支持金额酌情得0～1分）</w:t>
            </w:r>
          </w:p>
        </w:tc>
      </w:tr>
    </w:tbl>
    <w:p>
      <w:pPr>
        <w:autoSpaceDE w:val="0"/>
        <w:autoSpaceDN w:val="0"/>
        <w:adjustRightInd w:val="0"/>
        <w:spacing w:line="360" w:lineRule="auto"/>
        <w:rPr>
          <w:rFonts w:hint="eastAsia" w:ascii="宋体" w:hAnsi="宋体" w:eastAsia="宋体" w:cs="宋体"/>
          <w:b/>
          <w:bCs/>
          <w:color w:val="auto"/>
          <w:sz w:val="24"/>
          <w:szCs w:val="24"/>
          <w:highlight w:val="none"/>
          <w:lang w:eastAsia="zh-CN"/>
        </w:rPr>
        <w:sectPr>
          <w:pgSz w:w="11907" w:h="16840"/>
          <w:pgMar w:top="1500" w:right="1580" w:bottom="1120" w:left="1700" w:header="0" w:footer="921" w:gutter="0"/>
          <w:pgNumType w:fmt="decimal"/>
          <w:cols w:space="720" w:num="1"/>
        </w:sectPr>
      </w:pPr>
    </w:p>
    <w:p>
      <w:pPr>
        <w:autoSpaceDE w:val="0"/>
        <w:autoSpaceDN w:val="0"/>
        <w:adjustRightIn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二、技术标</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项目管理及施工技术方案分值：40分</w:t>
      </w:r>
    </w:p>
    <w:tbl>
      <w:tblPr>
        <w:tblStyle w:val="35"/>
        <w:tblpPr w:leftFromText="180" w:rightFromText="180" w:vertAnchor="text" w:horzAnchor="page" w:tblpXSpec="center" w:tblpY="435"/>
        <w:tblOverlap w:val="never"/>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397"/>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w:t>
            </w:r>
          </w:p>
        </w:tc>
        <w:tc>
          <w:tcPr>
            <w:tcW w:w="2397"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评定项目及分值</w:t>
            </w:r>
          </w:p>
        </w:tc>
        <w:tc>
          <w:tcPr>
            <w:tcW w:w="5318"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内容完整性</w:t>
            </w:r>
          </w:p>
          <w:p>
            <w:pPr>
              <w:pStyle w:val="107"/>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sz w:val="24"/>
                <w:szCs w:val="24"/>
                <w:highlight w:val="none"/>
              </w:rPr>
              <w:t>（2分）</w:t>
            </w:r>
          </w:p>
        </w:tc>
        <w:tc>
          <w:tcPr>
            <w:tcW w:w="5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技术标的主要内容具有完整性，符合采购文件的要求。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rPr>
              <w:t>酌情得1-2分。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施工技术方案</w:t>
            </w:r>
          </w:p>
          <w:p>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318" w:type="dxa"/>
            <w:noWrap w:val="0"/>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施工方法及技术措施安排合理、可行、可靠、先进、针对性强，措施</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酌情得1-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技术重点、难点及相应解决方案(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318" w:type="dxa"/>
            <w:noWrap w:val="0"/>
            <w:vAlign w:val="center"/>
          </w:tcPr>
          <w:p>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结合工程实际情况，对施工重点、难点分析 是否透彻，施工重点、难点的组织措施和技 术措施是否科学合理、可靠可行。</w:t>
            </w:r>
            <w:r>
              <w:rPr>
                <w:rFonts w:hint="eastAsia" w:ascii="宋体" w:hAnsi="宋体" w:eastAsia="宋体" w:cs="宋体"/>
                <w:color w:val="auto"/>
                <w:sz w:val="24"/>
                <w:szCs w:val="24"/>
                <w:highlight w:val="none"/>
                <w:lang w:eastAsia="zh-CN"/>
              </w:rPr>
              <w:t>酌情得1-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拟投入资源配备计划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5318" w:type="dxa"/>
            <w:noWrap w:val="0"/>
            <w:vAlign w:val="center"/>
          </w:tcPr>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1.机械：投入计划与进度计划呼应，采用先进机械设备且配置合理、先进，满足安全技术规范和施工进度需要；基坑支护、降水设备满足施工要求；</w:t>
            </w:r>
          </w:p>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2.劳动力：投入计划与进度计划呼应，较好满足施工需要，调配投入计划合理、准确；</w:t>
            </w:r>
          </w:p>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3.主要物资计划：主要物资投入计划与进度计划呼应，较好满足施工需要，调配投入计划合理、准确。</w:t>
            </w:r>
          </w:p>
          <w:p>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酌情得1-5分。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工期保证措施</w:t>
            </w:r>
          </w:p>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5318" w:type="dxa"/>
            <w:noWrap w:val="0"/>
            <w:vAlign w:val="center"/>
          </w:tcPr>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工期承诺满足招标文件要求，工期保证措施合理且有针对性，有具体的违约责任承诺。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酌情得1-5分。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施工总平面布置</w:t>
            </w:r>
          </w:p>
          <w:p>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31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对工程整体情况掌握全面，计划全面具体，对项目总体全面认识深刻，论述完整清晰，总体组织符合实际，总体设计符合规范，总体计划合理，综合措施科学、总体布置规范。</w:t>
            </w:r>
          </w:p>
          <w:p>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酌情得1-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质量、安全、环境保护、文明施工管理体系及施工现场扬尘治理措施（</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5318" w:type="dxa"/>
            <w:noWrap w:val="0"/>
            <w:vAlign w:val="center"/>
          </w:tcPr>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1.组织机构形式合理，有完善的指挥系统、质量监控系统、联络协调系统，对项目提出先进、可行、具体的保证措施。质量保证措施完整得力、经济、安全、切实可行。</w:t>
            </w:r>
          </w:p>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创安全文明标准化工地目标明确，有针对项目实际情况，科学可行的创建计划和符合相关标准、规范、规程的创建保证措施和安全文明措施费用投入使用计划，场地设置科学规范，符合有关文明施工、健康卫生的规定。</w:t>
            </w:r>
          </w:p>
          <w:p>
            <w:pPr>
              <w:bidi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4.施工现场扬尘治理措施符合当地政府的相应要求，防治方案科学、先进。</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酌情得1-5分。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风险管理措施</w:t>
            </w:r>
          </w:p>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c>
          <w:tcPr>
            <w:tcW w:w="5318" w:type="dxa"/>
            <w:noWrap w:val="0"/>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风险防控管理措施齐全，风险预控符合规范要求，风险控制要点定位准确，各阶段风险控制及应急措施得力。</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酌情得1-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23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w:t>
            </w:r>
          </w:p>
          <w:p>
            <w:pPr>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(2分)</w:t>
            </w:r>
          </w:p>
        </w:tc>
        <w:tc>
          <w:tcPr>
            <w:tcW w:w="5318" w:type="dxa"/>
            <w:noWrap w:val="0"/>
            <w:vAlign w:val="center"/>
          </w:tcPr>
          <w:p>
            <w:pP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售后服务承诺合理并可以付诸实施；提供档案材料收集、整理措施的规范。</w:t>
            </w:r>
            <w:r>
              <w:rPr>
                <w:rFonts w:hint="eastAsia" w:ascii="宋体" w:hAnsi="宋体" w:eastAsia="宋体" w:cs="宋体"/>
                <w:color w:val="auto"/>
                <w:sz w:val="24"/>
                <w:szCs w:val="24"/>
                <w:highlight w:val="none"/>
                <w:lang w:val="en-US" w:eastAsia="en-US"/>
              </w:rPr>
              <w:t>承诺负责协调项目承包范围内环保、住建、质检等相关政府部门工作协调。</w:t>
            </w:r>
          </w:p>
          <w:p>
            <w:pP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酌情得1-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19" w:type="dxa"/>
            <w:gridSpan w:val="3"/>
            <w:noWrap w:val="0"/>
            <w:vAlign w:val="center"/>
          </w:tcPr>
          <w:p>
            <w:pP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技术方案缺项，该项得0分。</w:t>
            </w:r>
          </w:p>
        </w:tc>
      </w:tr>
    </w:tbl>
    <w:p>
      <w:pPr>
        <w:bidi w:val="0"/>
        <w:rPr>
          <w:rFonts w:hint="eastAsia" w:ascii="宋体" w:hAnsi="宋体" w:eastAsia="宋体" w:cs="宋体"/>
          <w:color w:val="auto"/>
          <w:sz w:val="24"/>
          <w:szCs w:val="24"/>
          <w:highlight w:val="none"/>
          <w:lang w:eastAsia="zh-CN"/>
        </w:rPr>
      </w:pPr>
    </w:p>
    <w:p>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pPr>
        <w:autoSpaceDE w:val="0"/>
        <w:autoSpaceDN w:val="0"/>
        <w:adjustRightIn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三、最终得分计算</w:t>
      </w:r>
    </w:p>
    <w:p>
      <w:p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评标委员会将依以下方法计算投标人的最终得分：</w:t>
      </w:r>
    </w:p>
    <w:tbl>
      <w:tblPr>
        <w:tblStyle w:val="3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3169"/>
        <w:gridCol w:w="1867"/>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5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评价代码</w:t>
            </w:r>
          </w:p>
        </w:tc>
        <w:tc>
          <w:tcPr>
            <w:tcW w:w="3169"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评价项目</w:t>
            </w:r>
          </w:p>
        </w:tc>
        <w:tc>
          <w:tcPr>
            <w:tcW w:w="1867" w:type="dxa"/>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各评价代码的分值或权重</w:t>
            </w:r>
          </w:p>
        </w:tc>
        <w:tc>
          <w:tcPr>
            <w:tcW w:w="2705" w:type="dxa"/>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计算得分</w:t>
            </w:r>
          </w:p>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5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3169"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商务标</w:t>
            </w:r>
          </w:p>
        </w:tc>
        <w:tc>
          <w:tcPr>
            <w:tcW w:w="186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60分</w:t>
            </w:r>
          </w:p>
        </w:tc>
        <w:tc>
          <w:tcPr>
            <w:tcW w:w="2705" w:type="dxa"/>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5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3169"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86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0分</w:t>
            </w:r>
          </w:p>
        </w:tc>
        <w:tc>
          <w:tcPr>
            <w:tcW w:w="2705" w:type="dxa"/>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5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3169"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186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0分</w:t>
            </w:r>
          </w:p>
        </w:tc>
        <w:tc>
          <w:tcPr>
            <w:tcW w:w="2705" w:type="dxa"/>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3169"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技术标</w:t>
            </w:r>
          </w:p>
        </w:tc>
        <w:tc>
          <w:tcPr>
            <w:tcW w:w="186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40分</w:t>
            </w:r>
          </w:p>
        </w:tc>
        <w:tc>
          <w:tcPr>
            <w:tcW w:w="2705" w:type="dxa"/>
            <w:vAlign w:val="center"/>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57"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3169" w:type="dxa"/>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项目管理及施工技术方案</w:t>
            </w:r>
          </w:p>
        </w:tc>
        <w:tc>
          <w:tcPr>
            <w:tcW w:w="186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40分</w:t>
            </w:r>
          </w:p>
        </w:tc>
        <w:tc>
          <w:tcPr>
            <w:tcW w:w="2705" w:type="dxa"/>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3" w:type="dxa"/>
            <w:gridSpan w:val="3"/>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最终得分合计（保留小数点后2位，四舍五入）</w:t>
            </w:r>
            <w:r>
              <w:rPr>
                <w:rFonts w:hint="eastAsia" w:ascii="宋体" w:hAnsi="宋体" w:eastAsia="宋体" w:cs="宋体"/>
                <w:color w:val="auto"/>
                <w:sz w:val="24"/>
                <w:szCs w:val="24"/>
                <w:highlight w:val="none"/>
                <w:lang w:eastAsia="zh-CN"/>
              </w:rPr>
              <w:t>：</w:t>
            </w:r>
          </w:p>
        </w:tc>
        <w:tc>
          <w:tcPr>
            <w:tcW w:w="2705" w:type="dxa"/>
            <w:vAlign w:val="center"/>
          </w:tcPr>
          <w:p>
            <w:pPr>
              <w:jc w:val="center"/>
              <w:rPr>
                <w:rFonts w:hint="eastAsia" w:ascii="宋体" w:hAnsi="宋体" w:eastAsia="宋体" w:cs="宋体"/>
                <w:color w:val="auto"/>
                <w:sz w:val="24"/>
                <w:szCs w:val="24"/>
                <w:highlight w:val="none"/>
                <w:lang w:eastAsia="zh-CN"/>
              </w:rPr>
            </w:pPr>
          </w:p>
        </w:tc>
      </w:tr>
    </w:tbl>
    <w:p>
      <w:pPr>
        <w:bidi w:val="0"/>
        <w:rPr>
          <w:rFonts w:hint="eastAsia" w:ascii="宋体" w:hAnsi="宋体" w:eastAsia="宋体" w:cs="宋体"/>
          <w:color w:val="auto"/>
          <w:sz w:val="24"/>
          <w:szCs w:val="24"/>
          <w:highlight w:val="none"/>
          <w:lang w:eastAsia="zh-CN"/>
        </w:rPr>
      </w:pPr>
    </w:p>
    <w:p>
      <w:pPr>
        <w:pStyle w:val="2"/>
        <w:jc w:val="left"/>
        <w:rPr>
          <w:rFonts w:hint="eastAsia" w:ascii="宋体" w:hAnsi="宋体" w:eastAsia="宋体" w:cs="宋体"/>
          <w:color w:val="auto"/>
          <w:sz w:val="24"/>
          <w:szCs w:val="24"/>
          <w:highlight w:val="none"/>
        </w:rPr>
      </w:pPr>
      <w:bookmarkStart w:id="229" w:name="_Toc6746"/>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 评标方法</w:t>
      </w:r>
      <w:bookmarkEnd w:id="224"/>
      <w:bookmarkEnd w:id="225"/>
      <w:bookmarkEnd w:id="226"/>
      <w:bookmarkEnd w:id="227"/>
      <w:bookmarkEnd w:id="229"/>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本次评标采用综合评标法。评标委员会对满足招标文件实质性要求的投标文件，按照本章第2.2 款规定的评分标准进行打分，最终所有评委打分的算术平均值为该投标人的最终得分，并按得分由高到低顺序推荐中标候选人，综合评分相等时，投标报价低的优先；投标报价也相等的，由招标人自行确定。</w:t>
      </w:r>
    </w:p>
    <w:p>
      <w:pPr>
        <w:pStyle w:val="2"/>
        <w:jc w:val="left"/>
        <w:rPr>
          <w:rFonts w:hint="eastAsia" w:ascii="宋体" w:hAnsi="宋体" w:eastAsia="宋体" w:cs="宋体"/>
          <w:color w:val="auto"/>
          <w:sz w:val="24"/>
          <w:szCs w:val="24"/>
          <w:highlight w:val="none"/>
          <w:lang w:eastAsia="zh-CN"/>
        </w:rPr>
      </w:pPr>
      <w:bookmarkStart w:id="230" w:name="_Toc30635_WPSOffice_Level2"/>
      <w:bookmarkStart w:id="231" w:name="_Toc5399"/>
      <w:bookmarkStart w:id="232" w:name="_Toc394042533"/>
      <w:bookmarkStart w:id="233" w:name="_Toc3558_WPSOffice_Level2"/>
      <w:bookmarkStart w:id="234" w:name="_Toc83"/>
      <w:bookmarkStart w:id="235" w:name="_Toc5560"/>
      <w:bookmarkStart w:id="236" w:name="_Toc16735"/>
      <w:bookmarkStart w:id="237" w:name="_Toc192386458"/>
      <w:bookmarkStart w:id="238" w:name="_Toc23093"/>
      <w:bookmarkStart w:id="239" w:name="_Toc6981"/>
      <w:r>
        <w:rPr>
          <w:rFonts w:hint="eastAsia" w:ascii="宋体" w:hAnsi="宋体" w:eastAsia="宋体" w:cs="宋体"/>
          <w:color w:val="auto"/>
          <w:sz w:val="24"/>
          <w:szCs w:val="24"/>
          <w:highlight w:val="none"/>
          <w:lang w:eastAsia="zh-CN"/>
        </w:rPr>
        <w:t>2. 评审标准</w:t>
      </w:r>
      <w:bookmarkEnd w:id="230"/>
      <w:bookmarkEnd w:id="231"/>
      <w:bookmarkEnd w:id="232"/>
      <w:bookmarkEnd w:id="233"/>
      <w:bookmarkEnd w:id="234"/>
      <w:bookmarkEnd w:id="235"/>
      <w:bookmarkEnd w:id="236"/>
      <w:bookmarkEnd w:id="237"/>
      <w:bookmarkEnd w:id="238"/>
      <w:bookmarkEnd w:id="239"/>
    </w:p>
    <w:p>
      <w:pPr>
        <w:pStyle w:val="4"/>
        <w:rPr>
          <w:rFonts w:hint="eastAsia" w:ascii="宋体" w:hAnsi="宋体" w:eastAsia="宋体" w:cs="宋体"/>
          <w:color w:val="auto"/>
          <w:sz w:val="24"/>
          <w:szCs w:val="24"/>
          <w:highlight w:val="none"/>
        </w:rPr>
      </w:pPr>
      <w:bookmarkStart w:id="240" w:name="_Toc8620"/>
      <w:bookmarkStart w:id="241" w:name="_Toc22116"/>
      <w:bookmarkStart w:id="242" w:name="_Toc27516"/>
      <w:bookmarkStart w:id="243" w:name="_Toc14589"/>
      <w:bookmarkStart w:id="244" w:name="_Toc394042534"/>
      <w:bookmarkStart w:id="245" w:name="_Toc192386459"/>
      <w:bookmarkStart w:id="246" w:name="_Toc14488"/>
      <w:r>
        <w:rPr>
          <w:rFonts w:hint="eastAsia" w:ascii="宋体" w:hAnsi="宋体" w:eastAsia="宋体" w:cs="宋体"/>
          <w:color w:val="auto"/>
          <w:sz w:val="24"/>
          <w:szCs w:val="24"/>
          <w:highlight w:val="none"/>
        </w:rPr>
        <w:t>2.1 初步评审标准</w:t>
      </w:r>
      <w:bookmarkEnd w:id="240"/>
      <w:bookmarkEnd w:id="241"/>
      <w:bookmarkEnd w:id="242"/>
      <w:bookmarkEnd w:id="243"/>
      <w:bookmarkEnd w:id="244"/>
      <w:bookmarkEnd w:id="245"/>
      <w:bookmarkEnd w:id="246"/>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形式评审标准：见评标办法前附表。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 资格评审标准：见评标办法前附表。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 响应性评审标准：见评标办法前附表。</w:t>
      </w:r>
      <w:bookmarkStart w:id="247" w:name="_Toc14339"/>
      <w:bookmarkStart w:id="248" w:name="_Toc12643"/>
      <w:bookmarkStart w:id="249" w:name="_Toc394042535"/>
      <w:bookmarkStart w:id="250" w:name="_Toc192386460"/>
      <w:bookmarkStart w:id="251" w:name="_Toc10152"/>
    </w:p>
    <w:p>
      <w:pPr>
        <w:pStyle w:val="4"/>
        <w:rPr>
          <w:rFonts w:hint="eastAsia" w:ascii="宋体" w:hAnsi="宋体" w:eastAsia="宋体" w:cs="宋体"/>
          <w:color w:val="auto"/>
          <w:sz w:val="24"/>
          <w:szCs w:val="24"/>
          <w:highlight w:val="none"/>
        </w:rPr>
      </w:pPr>
      <w:bookmarkStart w:id="252" w:name="_Toc26027"/>
      <w:bookmarkStart w:id="253" w:name="_Toc207"/>
      <w:r>
        <w:rPr>
          <w:rFonts w:hint="eastAsia" w:ascii="宋体" w:hAnsi="宋体" w:eastAsia="宋体" w:cs="宋体"/>
          <w:color w:val="auto"/>
          <w:sz w:val="24"/>
          <w:szCs w:val="24"/>
          <w:highlight w:val="none"/>
        </w:rPr>
        <w:t>2.2 分值构成与评分标准</w:t>
      </w:r>
      <w:bookmarkEnd w:id="247"/>
      <w:bookmarkEnd w:id="248"/>
      <w:bookmarkEnd w:id="249"/>
      <w:bookmarkEnd w:id="250"/>
      <w:bookmarkEnd w:id="251"/>
      <w:bookmarkEnd w:id="252"/>
      <w:bookmarkEnd w:id="253"/>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分值构成</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（1）技术部分：见评标办法前附表；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（2）商务部分：见评标办法前附表；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 评分标准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（1）技术标评分标准：见评标办法前附表；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（2）商务标评分标准：见评标办法前附表；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评分计算</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评标委员会根据评标办法对所有投标文件进行集中审核，分别打分。每个投标人的最终得分为：评委评分的算术平均值作为该投标人的最终得分，计分按取至小数点后二位（四舍五入）。</w:t>
      </w:r>
    </w:p>
    <w:p>
      <w:pPr>
        <w:pStyle w:val="2"/>
        <w:jc w:val="left"/>
        <w:rPr>
          <w:rFonts w:hint="eastAsia" w:ascii="宋体" w:hAnsi="宋体" w:eastAsia="宋体" w:cs="宋体"/>
          <w:color w:val="auto"/>
          <w:sz w:val="24"/>
          <w:szCs w:val="24"/>
          <w:highlight w:val="none"/>
          <w:lang w:eastAsia="zh-CN"/>
        </w:rPr>
      </w:pPr>
      <w:bookmarkStart w:id="254" w:name="_Toc3324"/>
      <w:bookmarkStart w:id="255" w:name="_Toc27308_WPSOffice_Level2"/>
      <w:bookmarkStart w:id="256" w:name="_Toc137"/>
      <w:bookmarkStart w:id="257" w:name="_Toc394042536"/>
      <w:bookmarkStart w:id="258" w:name="_Toc29071"/>
      <w:bookmarkStart w:id="259" w:name="_Toc192386461"/>
      <w:bookmarkStart w:id="260" w:name="_Toc19063_WPSOffice_Level2"/>
      <w:bookmarkStart w:id="261" w:name="_Toc21475"/>
      <w:bookmarkStart w:id="262" w:name="_Toc13059"/>
      <w:bookmarkStart w:id="263" w:name="_Toc7505"/>
      <w:r>
        <w:rPr>
          <w:rFonts w:hint="eastAsia" w:ascii="宋体" w:hAnsi="宋体" w:eastAsia="宋体" w:cs="宋体"/>
          <w:color w:val="auto"/>
          <w:sz w:val="24"/>
          <w:szCs w:val="24"/>
          <w:highlight w:val="none"/>
          <w:lang w:eastAsia="zh-CN"/>
        </w:rPr>
        <w:t>3. 评标程序</w:t>
      </w:r>
      <w:bookmarkEnd w:id="254"/>
      <w:bookmarkEnd w:id="255"/>
      <w:bookmarkEnd w:id="256"/>
      <w:bookmarkEnd w:id="257"/>
      <w:bookmarkEnd w:id="258"/>
      <w:bookmarkEnd w:id="259"/>
      <w:bookmarkEnd w:id="260"/>
      <w:bookmarkEnd w:id="261"/>
      <w:bookmarkEnd w:id="262"/>
      <w:bookmarkEnd w:id="263"/>
    </w:p>
    <w:p>
      <w:pPr>
        <w:pStyle w:val="4"/>
        <w:rPr>
          <w:rFonts w:hint="eastAsia" w:ascii="宋体" w:hAnsi="宋体" w:eastAsia="宋体" w:cs="宋体"/>
          <w:color w:val="auto"/>
          <w:sz w:val="24"/>
          <w:szCs w:val="24"/>
          <w:highlight w:val="none"/>
        </w:rPr>
      </w:pPr>
      <w:bookmarkStart w:id="264" w:name="_Toc192386462"/>
      <w:bookmarkStart w:id="265" w:name="_Toc24924"/>
      <w:bookmarkStart w:id="266" w:name="_Toc31395"/>
      <w:bookmarkStart w:id="267" w:name="_Toc1349"/>
      <w:bookmarkStart w:id="268" w:name="_Toc7352"/>
      <w:bookmarkStart w:id="269" w:name="_Toc394042537"/>
      <w:bookmarkStart w:id="270" w:name="_Toc13741"/>
      <w:r>
        <w:rPr>
          <w:rFonts w:hint="eastAsia" w:ascii="宋体" w:hAnsi="宋体" w:eastAsia="宋体" w:cs="宋体"/>
          <w:color w:val="auto"/>
          <w:sz w:val="24"/>
          <w:szCs w:val="24"/>
          <w:highlight w:val="none"/>
        </w:rPr>
        <w:t>3.1 初步评审</w:t>
      </w:r>
      <w:bookmarkEnd w:id="264"/>
      <w:bookmarkEnd w:id="265"/>
      <w:bookmarkEnd w:id="266"/>
      <w:bookmarkEnd w:id="267"/>
      <w:bookmarkEnd w:id="268"/>
      <w:bookmarkEnd w:id="269"/>
      <w:bookmarkEnd w:id="270"/>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3.1.1评标委员会依据本章第2.1.1项、第2.1.2项、第2.1.3项规定的标准对投标文件进行初步评审。</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3.1.2 投标人有以下情形之一的，其投标将被否决：</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（1）串通投标或弄虚作假或有其他违法行为的；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（2）不按评标委员会要求澄清、说明或补正的；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（3）投标人递交两份或多份内容不同的投标文件，或在一份投标文件中对同一招标项目报有两个或多个报价，且未声明哪一个有效；</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（4）投标文件附有招标人不能接受的条件的。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3.1.3 投标报价有算术错误的，评标委员会按以下原则对投标报价进行修正，修正的价格经投标人书面确认后具有约束力。投标人不接受修正价格的，其投标将被否决。</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（1）投标文件中的大写金额与小写金额不一致的，以大写金额为准；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（2）总价金额与依据单价计算出的结果不一致的，以单价金额为准修正总价，但单价金额小数点有明显错误的除外。</w:t>
      </w:r>
    </w:p>
    <w:p>
      <w:pPr>
        <w:pStyle w:val="4"/>
        <w:rPr>
          <w:rFonts w:hint="eastAsia" w:ascii="宋体" w:hAnsi="宋体" w:eastAsia="宋体" w:cs="宋体"/>
          <w:color w:val="auto"/>
          <w:sz w:val="24"/>
          <w:szCs w:val="24"/>
          <w:highlight w:val="none"/>
        </w:rPr>
      </w:pPr>
      <w:bookmarkStart w:id="271" w:name="_Toc11171"/>
      <w:bookmarkStart w:id="272" w:name="_Toc394042538"/>
      <w:bookmarkStart w:id="273" w:name="_Toc27573"/>
      <w:bookmarkStart w:id="274" w:name="_Toc9974"/>
      <w:bookmarkStart w:id="275" w:name="_Toc6704"/>
      <w:bookmarkStart w:id="276" w:name="_Toc22863"/>
      <w:bookmarkStart w:id="277" w:name="_Toc192386463"/>
      <w:r>
        <w:rPr>
          <w:rFonts w:hint="eastAsia" w:ascii="宋体" w:hAnsi="宋体" w:eastAsia="宋体" w:cs="宋体"/>
          <w:color w:val="auto"/>
          <w:sz w:val="24"/>
          <w:szCs w:val="24"/>
          <w:highlight w:val="none"/>
        </w:rPr>
        <w:t>3.2 详细评审</w:t>
      </w:r>
      <w:bookmarkEnd w:id="271"/>
      <w:bookmarkEnd w:id="272"/>
      <w:bookmarkEnd w:id="273"/>
      <w:bookmarkEnd w:id="274"/>
      <w:bookmarkEnd w:id="275"/>
      <w:bookmarkEnd w:id="276"/>
      <w:bookmarkEnd w:id="277"/>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3.2.1 评标委员会按本章第2.2 款规定的量化因素和分值进行打分，并计算出综合评价分。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3.2.2 评分分值计算保留小数点后两位，小数点后第三位“四舍五入”。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3.2.3 投标人得分=技术标评分+商务标评分+综合标得分；投标人最终得分=各评委对投标人赋分的算术平均值。（计算评分值均保留两位小数）</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pPr>
        <w:pStyle w:val="4"/>
        <w:rPr>
          <w:rFonts w:hint="eastAsia" w:ascii="宋体" w:hAnsi="宋体" w:eastAsia="宋体" w:cs="宋体"/>
          <w:color w:val="auto"/>
          <w:sz w:val="24"/>
          <w:szCs w:val="24"/>
          <w:highlight w:val="none"/>
        </w:rPr>
      </w:pPr>
      <w:bookmarkStart w:id="278" w:name="_Toc1234"/>
      <w:bookmarkStart w:id="279" w:name="_Toc394042539"/>
      <w:bookmarkStart w:id="280" w:name="_Toc16214"/>
      <w:bookmarkStart w:id="281" w:name="_Toc20977"/>
      <w:bookmarkStart w:id="282" w:name="_Toc192386464"/>
      <w:bookmarkStart w:id="283" w:name="_Toc16200"/>
      <w:bookmarkStart w:id="284" w:name="_Toc21972"/>
      <w:r>
        <w:rPr>
          <w:rFonts w:hint="eastAsia" w:ascii="宋体" w:hAnsi="宋体" w:eastAsia="宋体" w:cs="宋体"/>
          <w:color w:val="auto"/>
          <w:sz w:val="24"/>
          <w:szCs w:val="24"/>
          <w:highlight w:val="none"/>
        </w:rPr>
        <w:t>3.3 投标文件的澄清和补正</w:t>
      </w:r>
      <w:bookmarkEnd w:id="278"/>
      <w:bookmarkEnd w:id="279"/>
      <w:bookmarkEnd w:id="280"/>
      <w:bookmarkEnd w:id="281"/>
      <w:bookmarkEnd w:id="282"/>
      <w:bookmarkEnd w:id="283"/>
      <w:bookmarkEnd w:id="284"/>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3.3.2 澄清、说明和补正不得改变投标文件的实质性内容（算术性错误修正的除外）。投标人的书面澄清、说明和补正属于投标文件的组成部分。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3.3.3 评标委员会对投标人提交的澄清、说明或补正有疑问的，可以要求投标人进一步澄清、说明或补正，直至满足评标委员会的要求。</w:t>
      </w:r>
    </w:p>
    <w:p>
      <w:pPr>
        <w:pStyle w:val="4"/>
        <w:rPr>
          <w:rFonts w:hint="eastAsia" w:ascii="宋体" w:hAnsi="宋体" w:eastAsia="宋体" w:cs="宋体"/>
          <w:color w:val="auto"/>
          <w:sz w:val="24"/>
          <w:szCs w:val="24"/>
          <w:highlight w:val="none"/>
        </w:rPr>
      </w:pPr>
      <w:bookmarkStart w:id="285" w:name="_Toc394042540"/>
      <w:bookmarkStart w:id="286" w:name="_Toc3046"/>
      <w:bookmarkStart w:id="287" w:name="_Toc192386465"/>
      <w:bookmarkStart w:id="288" w:name="_Toc24181"/>
      <w:bookmarkStart w:id="289" w:name="_Toc14944"/>
      <w:bookmarkStart w:id="290" w:name="_Toc526"/>
      <w:bookmarkStart w:id="291" w:name="_Toc24680"/>
      <w:r>
        <w:rPr>
          <w:rFonts w:hint="eastAsia" w:ascii="宋体" w:hAnsi="宋体" w:eastAsia="宋体" w:cs="宋体"/>
          <w:color w:val="auto"/>
          <w:sz w:val="24"/>
          <w:szCs w:val="24"/>
          <w:highlight w:val="none"/>
        </w:rPr>
        <w:t>3.4 评标结果</w:t>
      </w:r>
      <w:bookmarkEnd w:id="285"/>
      <w:bookmarkEnd w:id="286"/>
      <w:bookmarkEnd w:id="287"/>
      <w:bookmarkEnd w:id="288"/>
      <w:bookmarkEnd w:id="289"/>
      <w:bookmarkEnd w:id="290"/>
      <w:bookmarkEnd w:id="291"/>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3.4.1 除第二章“投标人须知”前附表授权直接确定中标人外，评标委员会按照得分由高到低的顺序推荐中标候选人。</w:t>
      </w:r>
    </w:p>
    <w:p>
      <w:pPr>
        <w:spacing w:line="360" w:lineRule="auto"/>
        <w:ind w:firstLine="480" w:firstLineChars="200"/>
        <w:rPr>
          <w:rFonts w:hint="eastAsia" w:ascii="宋体" w:hAnsi="宋体" w:eastAsia="宋体" w:cs="宋体"/>
          <w:color w:val="auto"/>
          <w:sz w:val="24"/>
          <w:szCs w:val="24"/>
          <w:highlight w:val="none"/>
          <w:lang w:eastAsia="zh-CN"/>
        </w:rPr>
        <w:sectPr>
          <w:pgSz w:w="11907" w:h="16840"/>
          <w:pgMar w:top="1500" w:right="1580" w:bottom="1120" w:left="1700" w:header="0" w:footer="921" w:gutter="0"/>
          <w:pgNumType w:fmt="decimal"/>
          <w:cols w:space="720" w:num="1"/>
        </w:sectPr>
      </w:pPr>
      <w:r>
        <w:rPr>
          <w:rFonts w:hint="eastAsia" w:ascii="宋体" w:hAnsi="宋体" w:eastAsia="宋体" w:cs="宋体"/>
          <w:color w:val="auto"/>
          <w:sz w:val="24"/>
          <w:szCs w:val="24"/>
          <w:highlight w:val="none"/>
          <w:lang w:eastAsia="zh-CN"/>
        </w:rPr>
        <w:t>3.4.2 评标委员会完成评标后，应当向招标人提交书面评标报告。</w:t>
      </w:r>
    </w:p>
    <w:p>
      <w:pPr>
        <w:pStyle w:val="3"/>
        <w:rPr>
          <w:rFonts w:hint="eastAsia" w:ascii="宋体" w:hAnsi="宋体" w:eastAsia="宋体" w:cs="宋体"/>
          <w:color w:val="auto"/>
          <w:sz w:val="24"/>
          <w:szCs w:val="24"/>
          <w:highlight w:val="none"/>
          <w:lang w:eastAsia="zh-CN"/>
        </w:rPr>
      </w:pPr>
      <w:bookmarkStart w:id="292" w:name="_Toc19612"/>
      <w:r>
        <w:rPr>
          <w:rFonts w:hint="eastAsia" w:ascii="宋体" w:hAnsi="宋体" w:eastAsia="宋体" w:cs="宋体"/>
          <w:color w:val="auto"/>
          <w:sz w:val="24"/>
          <w:szCs w:val="24"/>
          <w:highlight w:val="none"/>
          <w:lang w:eastAsia="zh-CN"/>
        </w:rPr>
        <w:t>第四章 拟签订的合同条款及格式</w:t>
      </w:r>
      <w:bookmarkEnd w:id="220"/>
      <w:bookmarkEnd w:id="221"/>
      <w:bookmarkEnd w:id="222"/>
      <w:bookmarkEnd w:id="223"/>
      <w:bookmarkEnd w:id="292"/>
    </w:p>
    <w:p>
      <w:pPr>
        <w:spacing w:line="276" w:lineRule="auto"/>
        <w:jc w:val="center"/>
        <w:rPr>
          <w:rFonts w:hint="eastAsia" w:ascii="宋体" w:hAnsi="宋体" w:eastAsia="宋体" w:cs="宋体"/>
          <w:color w:val="auto"/>
          <w:sz w:val="24"/>
          <w:szCs w:val="24"/>
          <w:highlight w:val="none"/>
          <w:lang w:eastAsia="zh-CN"/>
        </w:rPr>
        <w:sectPr>
          <w:footerReference r:id="rId8" w:type="default"/>
          <w:type w:val="nextColumn"/>
          <w:pgSz w:w="11907" w:h="16840"/>
          <w:pgMar w:top="1420" w:right="1720" w:bottom="1120" w:left="1720" w:header="0" w:footer="921" w:gutter="0"/>
          <w:pgNumType w:fmt="decimal"/>
          <w:cols w:space="720" w:num="1"/>
        </w:sectPr>
      </w:pPr>
      <w:r>
        <w:rPr>
          <w:rFonts w:hint="eastAsia" w:ascii="宋体" w:hAnsi="宋体" w:eastAsia="宋体" w:cs="宋体"/>
          <w:color w:val="auto"/>
          <w:sz w:val="24"/>
          <w:szCs w:val="24"/>
          <w:highlight w:val="none"/>
          <w:lang w:eastAsia="zh-CN"/>
        </w:rPr>
        <w:t>详见招标文件附件</w:t>
      </w:r>
    </w:p>
    <w:p>
      <w:pPr>
        <w:pStyle w:val="3"/>
        <w:rPr>
          <w:rFonts w:hint="eastAsia" w:ascii="宋体" w:hAnsi="宋体" w:eastAsia="宋体" w:cs="宋体"/>
          <w:color w:val="auto"/>
          <w:sz w:val="24"/>
          <w:szCs w:val="24"/>
          <w:highlight w:val="none"/>
          <w:lang w:val="en-US" w:eastAsia="zh-CN"/>
        </w:rPr>
      </w:pPr>
      <w:bookmarkStart w:id="293" w:name="_Toc5334"/>
      <w:bookmarkStart w:id="294" w:name="_Toc15780_WPSOffice_Level1"/>
      <w:bookmarkStart w:id="295" w:name="_Toc4840"/>
      <w:bookmarkStart w:id="296" w:name="_Toc19913_WPSOffice_Level1"/>
      <w:bookmarkStart w:id="297" w:name="_Toc1526"/>
      <w:r>
        <w:rPr>
          <w:rFonts w:hint="eastAsia" w:ascii="宋体" w:hAnsi="宋体" w:eastAsia="宋体" w:cs="宋体"/>
          <w:color w:val="auto"/>
          <w:sz w:val="24"/>
          <w:szCs w:val="24"/>
          <w:highlight w:val="none"/>
          <w:lang w:eastAsia="zh-CN"/>
        </w:rPr>
        <w:t>第五章 技术标准及要求</w:t>
      </w:r>
      <w:bookmarkEnd w:id="293"/>
      <w:bookmarkEnd w:id="294"/>
      <w:bookmarkEnd w:id="295"/>
      <w:bookmarkEnd w:id="296"/>
      <w:bookmarkEnd w:id="297"/>
      <w:r>
        <w:rPr>
          <w:rFonts w:hint="eastAsia" w:ascii="宋体" w:hAnsi="宋体" w:eastAsia="宋体" w:cs="宋体"/>
          <w:color w:val="auto"/>
          <w:sz w:val="24"/>
          <w:szCs w:val="24"/>
          <w:highlight w:val="none"/>
          <w:lang w:val="en-US" w:eastAsia="zh-CN"/>
        </w:rPr>
        <w:t xml:space="preserve"> </w:t>
      </w:r>
    </w:p>
    <w:p>
      <w:pPr>
        <w:rPr>
          <w:rFonts w:hint="eastAsia" w:ascii="宋体" w:hAnsi="宋体" w:eastAsia="宋体" w:cs="宋体"/>
          <w:color w:val="auto"/>
          <w:sz w:val="24"/>
          <w:szCs w:val="24"/>
          <w:highlight w:val="none"/>
          <w:lang w:eastAsia="zh-CN"/>
        </w:rPr>
      </w:pPr>
    </w:p>
    <w:p>
      <w:pPr>
        <w:pStyle w:val="34"/>
        <w:ind w:left="0" w:leftChars="0" w:firstLine="0" w:firstLineChars="0"/>
        <w:jc w:val="center"/>
        <w:rPr>
          <w:rFonts w:hint="eastAsia" w:ascii="宋体" w:hAnsi="宋体" w:eastAsia="宋体" w:cs="宋体"/>
          <w:color w:val="auto"/>
          <w:sz w:val="24"/>
          <w:szCs w:val="24"/>
          <w:highlight w:val="none"/>
          <w:lang w:val="en-US" w:eastAsia="zh-CN" w:bidi="ar-SA"/>
        </w:rPr>
      </w:pPr>
      <w:bookmarkStart w:id="298" w:name="_Toc1434"/>
      <w:r>
        <w:rPr>
          <w:rFonts w:hint="eastAsia" w:ascii="宋体" w:hAnsi="宋体" w:eastAsia="宋体" w:cs="宋体"/>
          <w:color w:val="auto"/>
          <w:sz w:val="24"/>
          <w:szCs w:val="24"/>
          <w:highlight w:val="none"/>
          <w:lang w:val="en-US" w:eastAsia="zh-CN" w:bidi="ar-SA"/>
        </w:rPr>
        <w:t>详见招标文件附件</w:t>
      </w:r>
    </w:p>
    <w:p>
      <w:pPr>
        <w:pStyle w:val="3"/>
        <w:rPr>
          <w:rFonts w:hint="eastAsia" w:ascii="宋体" w:hAnsi="宋体" w:eastAsia="宋体" w:cs="宋体"/>
          <w:color w:val="auto"/>
          <w:sz w:val="24"/>
          <w:szCs w:val="24"/>
          <w:highlight w:val="none"/>
          <w:lang w:eastAsia="zh-CN"/>
        </w:rPr>
        <w:sectPr>
          <w:pgSz w:w="11907" w:h="16840"/>
          <w:pgMar w:top="1420" w:right="1720" w:bottom="1120" w:left="1720" w:header="0" w:footer="921" w:gutter="0"/>
          <w:pgNumType w:fmt="decimal"/>
          <w:cols w:space="720" w:num="1"/>
        </w:sectPr>
      </w:pPr>
    </w:p>
    <w:p>
      <w:pPr>
        <w:pStyle w:val="3"/>
        <w:rPr>
          <w:rFonts w:hint="eastAsia" w:ascii="宋体" w:hAnsi="宋体" w:eastAsia="宋体" w:cs="宋体"/>
          <w:color w:val="auto"/>
          <w:sz w:val="24"/>
          <w:szCs w:val="24"/>
          <w:highlight w:val="none"/>
          <w:lang w:eastAsia="zh-CN"/>
        </w:rPr>
      </w:pPr>
      <w:bookmarkStart w:id="299" w:name="_Toc22705"/>
      <w:r>
        <w:rPr>
          <w:rFonts w:hint="eastAsia" w:ascii="宋体" w:hAnsi="宋体" w:eastAsia="宋体" w:cs="宋体"/>
          <w:color w:val="auto"/>
          <w:sz w:val="24"/>
          <w:szCs w:val="24"/>
          <w:highlight w:val="none"/>
          <w:lang w:eastAsia="zh-CN"/>
        </w:rPr>
        <w:t>第六章 工程量清单</w:t>
      </w:r>
      <w:bookmarkEnd w:id="298"/>
      <w:bookmarkEnd w:id="299"/>
    </w:p>
    <w:p>
      <w:pPr>
        <w:pStyle w:val="34"/>
        <w:ind w:left="0" w:leftChars="0" w:firstLine="0" w:firstLineChars="0"/>
        <w:jc w:val="center"/>
        <w:rPr>
          <w:rFonts w:hint="eastAsia" w:ascii="宋体" w:hAnsi="宋体" w:eastAsia="宋体" w:cs="宋体"/>
          <w:color w:val="auto"/>
          <w:sz w:val="24"/>
          <w:szCs w:val="24"/>
          <w:highlight w:val="none"/>
          <w:lang w:val="en-US" w:eastAsia="zh-CN" w:bidi="ar-SA"/>
        </w:rPr>
      </w:pPr>
    </w:p>
    <w:p>
      <w:pPr>
        <w:pStyle w:val="34"/>
        <w:ind w:left="0" w:lef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详见招标文件附件</w:t>
      </w:r>
    </w:p>
    <w:p>
      <w:pPr>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sectPr>
          <w:pgSz w:w="11907" w:h="16840"/>
          <w:pgMar w:top="1420" w:right="1720" w:bottom="1120" w:left="1720" w:header="0" w:footer="921" w:gutter="0"/>
          <w:pgNumType w:fmt="decimal"/>
          <w:cols w:space="720" w:num="1"/>
        </w:sectPr>
      </w:pPr>
    </w:p>
    <w:p>
      <w:pPr>
        <w:pStyle w:val="3"/>
        <w:keepNext/>
        <w:keepLines/>
        <w:spacing w:before="120" w:after="120" w:line="400" w:lineRule="exact"/>
        <w:rPr>
          <w:rFonts w:hint="eastAsia" w:ascii="宋体" w:hAnsi="宋体" w:eastAsia="宋体" w:cs="宋体"/>
          <w:color w:val="auto"/>
          <w:kern w:val="44"/>
          <w:sz w:val="24"/>
          <w:szCs w:val="24"/>
          <w:highlight w:val="none"/>
          <w:lang w:eastAsia="zh-CN"/>
        </w:rPr>
      </w:pPr>
      <w:bookmarkStart w:id="300" w:name="_Toc18516"/>
      <w:bookmarkStart w:id="301" w:name="_Toc27114"/>
      <w:bookmarkStart w:id="302" w:name="_Toc18146_WPSOffice_Level1"/>
      <w:bookmarkStart w:id="303" w:name="_Toc21105"/>
      <w:bookmarkStart w:id="304" w:name="_Toc10704_WPSOffice_Level1"/>
      <w:r>
        <w:rPr>
          <w:rFonts w:hint="eastAsia" w:ascii="宋体" w:hAnsi="宋体" w:eastAsia="宋体" w:cs="宋体"/>
          <w:color w:val="auto"/>
          <w:kern w:val="44"/>
          <w:sz w:val="24"/>
          <w:szCs w:val="24"/>
          <w:highlight w:val="none"/>
          <w:lang w:eastAsia="zh-CN"/>
        </w:rPr>
        <w:t>第</w:t>
      </w:r>
      <w:r>
        <w:rPr>
          <w:rFonts w:hint="eastAsia" w:ascii="宋体" w:hAnsi="宋体" w:eastAsia="宋体" w:cs="宋体"/>
          <w:color w:val="auto"/>
          <w:kern w:val="44"/>
          <w:sz w:val="24"/>
          <w:szCs w:val="24"/>
          <w:highlight w:val="none"/>
          <w:lang w:val="en-US" w:eastAsia="zh-CN"/>
        </w:rPr>
        <w:t>七</w:t>
      </w:r>
      <w:r>
        <w:rPr>
          <w:rFonts w:hint="eastAsia" w:ascii="宋体" w:hAnsi="宋体" w:eastAsia="宋体" w:cs="宋体"/>
          <w:color w:val="auto"/>
          <w:kern w:val="44"/>
          <w:sz w:val="24"/>
          <w:szCs w:val="24"/>
          <w:highlight w:val="none"/>
          <w:lang w:eastAsia="zh-CN"/>
        </w:rPr>
        <w:t>章 投标文件格式</w:t>
      </w:r>
      <w:bookmarkEnd w:id="300"/>
      <w:bookmarkEnd w:id="301"/>
      <w:bookmarkEnd w:id="302"/>
      <w:bookmarkEnd w:id="303"/>
      <w:bookmarkEnd w:id="304"/>
    </w:p>
    <w:p>
      <w:pPr>
        <w:tabs>
          <w:tab w:val="left" w:pos="2999"/>
        </w:tabs>
        <w:spacing w:before="15"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备注：（封皮“制作系统”自动生成，无需重新制作）</w:t>
      </w:r>
    </w:p>
    <w:p>
      <w:pPr>
        <w:rPr>
          <w:rFonts w:hint="eastAsia" w:ascii="宋体" w:hAnsi="宋体" w:eastAsia="宋体" w:cs="宋体"/>
          <w:color w:val="auto"/>
          <w:sz w:val="24"/>
          <w:szCs w:val="24"/>
          <w:highlight w:val="none"/>
          <w:lang w:eastAsia="zh-CN"/>
        </w:rPr>
        <w:sectPr>
          <w:pgSz w:w="11907" w:h="16840"/>
          <w:pgMar w:top="1420" w:right="1720" w:bottom="1120" w:left="1720" w:header="0" w:footer="921" w:gutter="0"/>
          <w:pgNumType w:fmt="decimal"/>
          <w:cols w:space="720" w:num="1"/>
        </w:sectPr>
      </w:pPr>
      <w:r>
        <w:rPr>
          <w:rFonts w:hint="eastAsia" w:ascii="宋体" w:hAnsi="宋体" w:eastAsia="宋体" w:cs="宋体"/>
          <w:color w:val="auto"/>
          <w:kern w:val="2"/>
          <w:sz w:val="24"/>
          <w:szCs w:val="24"/>
          <w:highlight w:val="none"/>
          <w:lang w:eastAsia="zh-CN" w:bidi="ar"/>
        </w:rPr>
        <w:br w:type="page"/>
      </w:r>
    </w:p>
    <w:p>
      <w:pPr>
        <w:spacing w:before="240" w:beforeLines="100" w:after="240" w:afterLine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一、投标函及投标函附录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四、投标保证金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六、商务技术差异表</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八、施工组织设计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九、廉洁承诺书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十、其他材料</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bidi="ar"/>
        </w:rPr>
        <w:t>（除系统生成目录以外，另需在此基础上制作详细目录，此项不作为废标条款）</w:t>
      </w:r>
    </w:p>
    <w:p>
      <w:pPr>
        <w:autoSpaceDE w:val="0"/>
        <w:autoSpaceDN w:val="0"/>
        <w:adjustRightInd w:val="0"/>
        <w:spacing w:line="240" w:lineRule="auto"/>
        <w:rPr>
          <w:rFonts w:hint="eastAsia" w:ascii="宋体" w:hAnsi="宋体" w:eastAsia="宋体" w:cs="宋体"/>
          <w:color w:val="auto"/>
          <w:sz w:val="24"/>
          <w:szCs w:val="24"/>
          <w:highlight w:val="none"/>
          <w:lang w:eastAsia="zh-CN"/>
        </w:rPr>
      </w:pPr>
    </w:p>
    <w:p>
      <w:pPr>
        <w:spacing w:line="600" w:lineRule="exact"/>
        <w:rPr>
          <w:rFonts w:hint="eastAsia" w:ascii="宋体" w:hAnsi="宋体" w:eastAsia="宋体" w:cs="宋体"/>
          <w:color w:val="auto"/>
          <w:sz w:val="24"/>
          <w:szCs w:val="24"/>
          <w:highlight w:val="none"/>
          <w:lang w:eastAsia="zh-CN"/>
        </w:rPr>
      </w:pPr>
      <w:bookmarkStart w:id="305" w:name="_Toc6990"/>
      <w:bookmarkStart w:id="306" w:name="_Toc8483"/>
      <w:bookmarkStart w:id="307" w:name="_Toc394042554"/>
      <w:bookmarkStart w:id="308" w:name="_Toc7868"/>
      <w:bookmarkStart w:id="309" w:name="_Toc25145_WPSOffice_Level2"/>
      <w:bookmarkStart w:id="310" w:name="_Toc5242"/>
      <w:bookmarkStart w:id="311" w:name="_Toc19240_WPSOffice_Level2"/>
      <w:bookmarkStart w:id="312" w:name="_Toc3189"/>
    </w:p>
    <w:p>
      <w:pPr>
        <w:spacing w:line="600" w:lineRule="exact"/>
        <w:rPr>
          <w:rFonts w:hint="eastAsia" w:ascii="宋体" w:hAnsi="宋体" w:eastAsia="宋体" w:cs="宋体"/>
          <w:color w:val="auto"/>
          <w:sz w:val="24"/>
          <w:szCs w:val="24"/>
          <w:highlight w:val="none"/>
          <w:lang w:eastAsia="zh-CN"/>
        </w:rPr>
      </w:pPr>
    </w:p>
    <w:p>
      <w:pPr>
        <w:spacing w:line="600" w:lineRule="exact"/>
        <w:rPr>
          <w:rFonts w:hint="eastAsia" w:ascii="宋体" w:hAnsi="宋体" w:eastAsia="宋体" w:cs="宋体"/>
          <w:color w:val="auto"/>
          <w:sz w:val="24"/>
          <w:szCs w:val="24"/>
          <w:highlight w:val="none"/>
          <w:lang w:eastAsia="zh-CN"/>
        </w:rPr>
      </w:pPr>
    </w:p>
    <w:p>
      <w:pPr>
        <w:spacing w:line="600" w:lineRule="exact"/>
        <w:rPr>
          <w:rFonts w:hint="eastAsia" w:ascii="宋体" w:hAnsi="宋体" w:eastAsia="宋体" w:cs="宋体"/>
          <w:color w:val="auto"/>
          <w:sz w:val="24"/>
          <w:szCs w:val="24"/>
          <w:highlight w:val="none"/>
          <w:lang w:eastAsia="zh-CN"/>
        </w:rPr>
      </w:pPr>
    </w:p>
    <w:p>
      <w:pPr>
        <w:spacing w:line="600" w:lineRule="exact"/>
        <w:rPr>
          <w:rFonts w:hint="eastAsia" w:ascii="宋体" w:hAnsi="宋体" w:eastAsia="宋体" w:cs="宋体"/>
          <w:color w:val="auto"/>
          <w:sz w:val="24"/>
          <w:szCs w:val="24"/>
          <w:highlight w:val="none"/>
          <w:lang w:eastAsia="zh-CN"/>
        </w:rPr>
      </w:pPr>
    </w:p>
    <w:p>
      <w:pPr>
        <w:spacing w:line="600" w:lineRule="exact"/>
        <w:rPr>
          <w:rFonts w:hint="eastAsia" w:ascii="宋体" w:hAnsi="宋体" w:eastAsia="宋体" w:cs="宋体"/>
          <w:color w:val="auto"/>
          <w:sz w:val="24"/>
          <w:szCs w:val="24"/>
          <w:highlight w:val="none"/>
          <w:lang w:eastAsia="zh-CN"/>
        </w:rPr>
      </w:pPr>
    </w:p>
    <w:p>
      <w:pPr>
        <w:widowControl/>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sz w:val="24"/>
          <w:szCs w:val="24"/>
          <w:highlight w:val="none"/>
          <w:lang w:eastAsia="zh-CN"/>
        </w:rPr>
        <w:br w:type="page"/>
      </w:r>
    </w:p>
    <w:p>
      <w:pPr>
        <w:pStyle w:val="2"/>
        <w:rPr>
          <w:rFonts w:hint="eastAsia" w:ascii="宋体" w:hAnsi="宋体" w:eastAsia="宋体" w:cs="宋体"/>
          <w:color w:val="auto"/>
          <w:sz w:val="24"/>
          <w:szCs w:val="24"/>
          <w:highlight w:val="none"/>
          <w:lang w:eastAsia="zh-CN"/>
        </w:rPr>
      </w:pPr>
      <w:bookmarkStart w:id="313" w:name="_Toc28638"/>
      <w:bookmarkStart w:id="314" w:name="_Toc29895"/>
      <w:r>
        <w:rPr>
          <w:rFonts w:hint="eastAsia" w:ascii="宋体" w:hAnsi="宋体" w:eastAsia="宋体" w:cs="宋体"/>
          <w:color w:val="auto"/>
          <w:sz w:val="24"/>
          <w:szCs w:val="24"/>
          <w:highlight w:val="none"/>
          <w:lang w:eastAsia="zh-CN"/>
        </w:rPr>
        <w:t>一、投标函及投标函附录</w:t>
      </w:r>
      <w:bookmarkEnd w:id="305"/>
      <w:bookmarkEnd w:id="306"/>
      <w:bookmarkEnd w:id="307"/>
      <w:bookmarkEnd w:id="308"/>
      <w:bookmarkEnd w:id="309"/>
      <w:bookmarkEnd w:id="310"/>
      <w:bookmarkEnd w:id="311"/>
      <w:bookmarkEnd w:id="312"/>
      <w:bookmarkEnd w:id="313"/>
      <w:bookmarkEnd w:id="314"/>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bookmarkStart w:id="315" w:name="_Toc10493"/>
      <w:r>
        <w:rPr>
          <w:rFonts w:hint="eastAsia" w:ascii="宋体" w:hAnsi="宋体" w:eastAsia="宋体" w:cs="宋体"/>
          <w:color w:val="auto"/>
          <w:sz w:val="24"/>
          <w:szCs w:val="24"/>
          <w:highlight w:val="none"/>
          <w:lang w:eastAsia="zh-CN"/>
        </w:rPr>
        <w:t>（一）投标函</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bookmarkStart w:id="316" w:name="_Toc8912"/>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（招标人名称）：</w:t>
      </w:r>
    </w:p>
    <w:p>
      <w:pPr>
        <w:keepNext w:val="0"/>
        <w:keepLines w:val="0"/>
        <w:pageBreakBefore w:val="0"/>
        <w:widowControl w:val="0"/>
        <w:kinsoku/>
        <w:wordWrap/>
        <w:overflowPunct/>
        <w:topLinePunct w:val="0"/>
        <w:bidi w:val="0"/>
        <w:snapToGrid/>
        <w:spacing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1．我方已仔细研究了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（项</w:t>
      </w:r>
      <w:r>
        <w:rPr>
          <w:rFonts w:hint="eastAsia" w:ascii="宋体" w:hAnsi="宋体" w:eastAsia="宋体" w:cs="宋体"/>
          <w:color w:val="auto"/>
          <w:sz w:val="24"/>
          <w:szCs w:val="24"/>
          <w:highlight w:val="none"/>
          <w:lang w:eastAsia="zh-CN"/>
        </w:rPr>
        <w:t>目名称）招标文件的全部内容，愿意以人民币（大写）</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）的投标总报价，税种为</w:t>
      </w:r>
      <w:r>
        <w:rPr>
          <w:rFonts w:hint="eastAsia" w:cs="宋体"/>
          <w:color w:val="auto"/>
          <w:sz w:val="24"/>
          <w:szCs w:val="24"/>
          <w:highlight w:val="none"/>
          <w:lang w:val="en-US" w:eastAsia="zh-CN"/>
        </w:rPr>
        <w:t>专用</w:t>
      </w:r>
      <w:r>
        <w:rPr>
          <w:rFonts w:hint="eastAsia" w:ascii="宋体" w:hAnsi="宋体" w:eastAsia="宋体" w:cs="宋体"/>
          <w:color w:val="auto"/>
          <w:sz w:val="24"/>
          <w:szCs w:val="24"/>
          <w:highlight w:val="none"/>
          <w:lang w:eastAsia="zh-CN"/>
        </w:rPr>
        <w:t>增值税，税率为</w:t>
      </w:r>
      <w:r>
        <w:rPr>
          <w:rFonts w:hint="eastAsia" w:ascii="宋体" w:hAnsi="宋体" w:eastAsia="宋体" w:cs="宋体"/>
          <w:i w:val="0"/>
          <w:iCs w:val="0"/>
          <w:color w:val="auto"/>
          <w:sz w:val="24"/>
          <w:szCs w:val="24"/>
          <w:highlight w:val="none"/>
          <w:u w:val="single"/>
          <w:lang w:val="en-US" w:eastAsia="zh-CN"/>
        </w:rPr>
        <w:t xml:space="preserve"> 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，按合同约定实施和完成承包工程，修补工程中的任何缺陷，工程质量要求</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16" w:firstLineChars="257"/>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2．我方承诺在投标有效期</w:t>
      </w:r>
      <w:r>
        <w:rPr>
          <w:rFonts w:hint="eastAsia" w:ascii="宋体" w:hAnsi="宋体" w:eastAsia="宋体" w:cs="宋体"/>
          <w:color w:val="auto"/>
          <w:sz w:val="24"/>
          <w:szCs w:val="24"/>
          <w:highlight w:val="none"/>
          <w:u w:val="single"/>
          <w:lang w:eastAsia="zh-CN"/>
        </w:rPr>
        <w:t xml:space="preserve">   120日历天   </w:t>
      </w:r>
      <w:r>
        <w:rPr>
          <w:rFonts w:hint="eastAsia" w:ascii="宋体" w:hAnsi="宋体" w:eastAsia="宋体" w:cs="宋体"/>
          <w:color w:val="auto"/>
          <w:sz w:val="24"/>
          <w:szCs w:val="24"/>
          <w:highlight w:val="none"/>
          <w:lang w:eastAsia="zh-CN"/>
        </w:rPr>
        <w:t>内不修改、撤销投标文件。</w:t>
      </w:r>
    </w:p>
    <w:p>
      <w:pPr>
        <w:autoSpaceDE w:val="0"/>
        <w:autoSpaceDN w:val="0"/>
        <w:adjustRightInd w:val="0"/>
        <w:spacing w:line="420" w:lineRule="exact"/>
        <w:ind w:firstLine="616" w:firstLineChars="25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3．提交投标保证金金额为人民币（大写）</w:t>
      </w:r>
      <w:r>
        <w:rPr>
          <w:rFonts w:hint="eastAsia" w:ascii="宋体" w:hAnsi="宋体" w:eastAsia="宋体" w:cs="宋体"/>
          <w:color w:val="auto"/>
          <w:sz w:val="24"/>
          <w:szCs w:val="24"/>
          <w:highlight w:val="none"/>
          <w:u w:val="single"/>
          <w:lang w:eastAsia="zh-CN" w:bidi="ar"/>
        </w:rPr>
        <w:t xml:space="preserve">      </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u w:val="single"/>
          <w:lang w:eastAsia="zh-CN" w:bidi="ar"/>
        </w:rPr>
        <w:t xml:space="preserve">      </w:t>
      </w:r>
      <w:r>
        <w:rPr>
          <w:rFonts w:hint="eastAsia" w:ascii="宋体" w:hAnsi="宋体" w:eastAsia="宋体" w:cs="宋体"/>
          <w:color w:val="auto"/>
          <w:sz w:val="24"/>
          <w:szCs w:val="24"/>
          <w:highlight w:val="none"/>
          <w:lang w:eastAsia="zh-CN"/>
        </w:rPr>
        <w:t>元）。</w:t>
      </w:r>
    </w:p>
    <w:p>
      <w:pPr>
        <w:autoSpaceDE w:val="0"/>
        <w:autoSpaceDN w:val="0"/>
        <w:adjustRightInd w:val="0"/>
        <w:spacing w:line="420" w:lineRule="exact"/>
        <w:ind w:firstLine="616" w:firstLineChars="25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4．如我方中标：</w:t>
      </w:r>
    </w:p>
    <w:p>
      <w:pPr>
        <w:autoSpaceDE w:val="0"/>
        <w:autoSpaceDN w:val="0"/>
        <w:adjustRightInd w:val="0"/>
        <w:spacing w:line="4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（1）我方完全响应招标文件中提出的所有实质性要求。</w:t>
      </w:r>
    </w:p>
    <w:p>
      <w:pPr>
        <w:autoSpaceDE w:val="0"/>
        <w:autoSpaceDN w:val="0"/>
        <w:adjustRightInd w:val="0"/>
        <w:spacing w:line="4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（2）我方承诺在收到中标通知书后，在中标通知书规定的期限内与你方签订合同。</w:t>
      </w:r>
    </w:p>
    <w:p>
      <w:pPr>
        <w:autoSpaceDE w:val="0"/>
        <w:autoSpaceDN w:val="0"/>
        <w:adjustRightInd w:val="0"/>
        <w:spacing w:line="4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（3）随同本投标函递交的投标函附录属于合同文件的组成部分。</w:t>
      </w:r>
    </w:p>
    <w:p>
      <w:pPr>
        <w:autoSpaceDE w:val="0"/>
        <w:autoSpaceDN w:val="0"/>
        <w:adjustRightInd w:val="0"/>
        <w:spacing w:line="4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（4）我方承诺按照招标文件规定向你方递交履约担保金。</w:t>
      </w:r>
    </w:p>
    <w:p>
      <w:pPr>
        <w:autoSpaceDE w:val="0"/>
        <w:autoSpaceDN w:val="0"/>
        <w:adjustRightInd w:val="0"/>
        <w:spacing w:line="4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（5）我方承诺在合同约定的期限内完成并移交全部合同工程。</w:t>
      </w:r>
    </w:p>
    <w:p>
      <w:pPr>
        <w:autoSpaceDE w:val="0"/>
        <w:autoSpaceDN w:val="0"/>
        <w:adjustRightInd w:val="0"/>
        <w:spacing w:line="4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（6）我方承诺将按招标文件要求向代理机构足额缴纳招标代理服务费。</w:t>
      </w:r>
    </w:p>
    <w:p>
      <w:pPr>
        <w:autoSpaceDE w:val="0"/>
        <w:autoSpaceDN w:val="0"/>
        <w:adjustRightInd w:val="0"/>
        <w:spacing w:line="4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（7）我方承诺我公司将按合同的规定执行相关权利和义务。</w:t>
      </w:r>
    </w:p>
    <w:p>
      <w:pPr>
        <w:autoSpaceDE w:val="0"/>
        <w:autoSpaceDN w:val="0"/>
        <w:adjustRightInd w:val="0"/>
        <w:spacing w:line="44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我方承诺农民工工资按月及时发放，保证不拖欠或扣除农民工工资，并承诺按照国家、省、市相关文件要求交纳中标价的0.5%作为农民工工资保证金，一旦发现我公司在施工过程中拖欠农民工工资，招标人可有权终止与我公司的合同并从农民工工资保证金里支付农民工工资，我公司承诺愿承担所有一切损失。</w:t>
      </w:r>
    </w:p>
    <w:p>
      <w:pPr>
        <w:autoSpaceDE w:val="0"/>
        <w:autoSpaceDN w:val="0"/>
        <w:adjustRightInd w:val="0"/>
        <w:spacing w:line="44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我方承诺在施工过程中，如有违反合同中关于工期、质量、安全的相关约定，招标人有权将我公司承担的相关工作交由其他有资质的合格承包人予以完成，我单位保证服从招标人安排，并配合履行相关手续、承担相应的法律责任和损失。</w:t>
      </w:r>
    </w:p>
    <w:p>
      <w:pPr>
        <w:autoSpaceDE w:val="0"/>
        <w:autoSpaceDN w:val="0"/>
        <w:adjustRightInd w:val="0"/>
        <w:spacing w:line="44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（10）我方承诺，我公司将严格遵守并执行国家、省、市、区关于扬尘治理、大气污染防治的各类相关文件及政策。</w:t>
      </w:r>
    </w:p>
    <w:p>
      <w:pPr>
        <w:autoSpaceDE w:val="0"/>
        <w:autoSpaceDN w:val="0"/>
        <w:adjustRightInd w:val="0"/>
        <w:spacing w:line="420" w:lineRule="exact"/>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5．我方在此声明，所递交的投标文件及有关资料内容完整、真实和准确，且不存在招标文件第二章“投标人须知”第1.4.2项规定的任何一种情形。</w:t>
      </w:r>
    </w:p>
    <w:p>
      <w:pPr>
        <w:pStyle w:val="45"/>
        <w:rPr>
          <w:rFonts w:hint="eastAsia" w:ascii="宋体" w:hAnsi="宋体" w:eastAsia="宋体" w:cs="宋体"/>
          <w:color w:val="auto"/>
          <w:sz w:val="24"/>
          <w:szCs w:val="24"/>
          <w:highlight w:val="none"/>
          <w:lang w:eastAsia="zh-CN"/>
        </w:rPr>
      </w:pPr>
    </w:p>
    <w:p>
      <w:pPr>
        <w:autoSpaceDE w:val="0"/>
        <w:autoSpaceDN w:val="0"/>
        <w:adjustRightInd w:val="0"/>
        <w:spacing w:line="420" w:lineRule="exact"/>
        <w:ind w:firstLine="720" w:firstLineChars="3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投标人（单位名称）：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（盖章）</w:t>
      </w:r>
    </w:p>
    <w:p>
      <w:pPr>
        <w:autoSpaceDE w:val="0"/>
        <w:autoSpaceDN w:val="0"/>
        <w:adjustRightInd w:val="0"/>
        <w:spacing w:line="420" w:lineRule="exact"/>
        <w:ind w:firstLine="720" w:firstLineChars="3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法定代表人或其委托代理人：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autoSpaceDE w:val="0"/>
        <w:autoSpaceDN w:val="0"/>
        <w:adjustRightInd w:val="0"/>
        <w:spacing w:line="420" w:lineRule="exact"/>
        <w:ind w:firstLine="720" w:firstLineChars="3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bookmarkEnd w:id="315"/>
    <w:bookmarkEnd w:id="316"/>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br w:type="page"/>
      </w:r>
      <w:r>
        <w:rPr>
          <w:rFonts w:hint="eastAsia" w:ascii="宋体" w:hAnsi="宋体" w:eastAsia="宋体" w:cs="宋体"/>
          <w:color w:val="auto"/>
          <w:sz w:val="24"/>
          <w:szCs w:val="24"/>
          <w:highlight w:val="none"/>
          <w:lang w:eastAsia="zh-CN"/>
        </w:rPr>
        <w:t>（二）投标函附录</w:t>
      </w:r>
    </w:p>
    <w:tbl>
      <w:tblPr>
        <w:tblStyle w:val="35"/>
        <w:tblpPr w:leftFromText="181" w:rightFromText="181" w:vertAnchor="text" w:horzAnchor="margin" w:tblpXSpec="center" w:tblpY="232"/>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13"/>
        <w:gridCol w:w="702"/>
        <w:gridCol w:w="839"/>
        <w:gridCol w:w="2059"/>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129" w:type="dxa"/>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7655" w:type="dxa"/>
            <w:gridSpan w:val="5"/>
            <w:vAlign w:val="center"/>
          </w:tcPr>
          <w:p>
            <w:pPr>
              <w:spacing w:line="460" w:lineRule="exact"/>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29" w:type="dxa"/>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p>
        </w:tc>
        <w:tc>
          <w:tcPr>
            <w:tcW w:w="7655" w:type="dxa"/>
            <w:gridSpan w:val="5"/>
            <w:vAlign w:val="center"/>
          </w:tcPr>
          <w:p>
            <w:pPr>
              <w:spacing w:line="46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29" w:type="dxa"/>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713" w:type="dxa"/>
            <w:vAlign w:val="center"/>
          </w:tcPr>
          <w:p>
            <w:pPr>
              <w:spacing w:line="460" w:lineRule="exact"/>
              <w:jc w:val="center"/>
              <w:rPr>
                <w:rFonts w:hint="eastAsia" w:ascii="宋体" w:hAnsi="宋体" w:eastAsia="宋体" w:cs="宋体"/>
                <w:color w:val="auto"/>
                <w:sz w:val="24"/>
                <w:szCs w:val="24"/>
                <w:highlight w:val="none"/>
              </w:rPr>
            </w:pPr>
          </w:p>
        </w:tc>
        <w:tc>
          <w:tcPr>
            <w:tcW w:w="702" w:type="dxa"/>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39" w:type="dxa"/>
            <w:vAlign w:val="center"/>
          </w:tcPr>
          <w:p>
            <w:pPr>
              <w:spacing w:line="460" w:lineRule="exact"/>
              <w:jc w:val="center"/>
              <w:rPr>
                <w:rFonts w:hint="eastAsia" w:ascii="宋体" w:hAnsi="宋体" w:eastAsia="宋体" w:cs="宋体"/>
                <w:color w:val="auto"/>
                <w:sz w:val="24"/>
                <w:szCs w:val="24"/>
                <w:highlight w:val="none"/>
              </w:rPr>
            </w:pPr>
          </w:p>
        </w:tc>
        <w:tc>
          <w:tcPr>
            <w:tcW w:w="2059" w:type="dxa"/>
            <w:vAlign w:val="center"/>
          </w:tcPr>
          <w:p>
            <w:pPr>
              <w:spacing w:line="46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建造师注册编号</w:t>
            </w:r>
          </w:p>
        </w:tc>
        <w:tc>
          <w:tcPr>
            <w:tcW w:w="2342" w:type="dxa"/>
            <w:vAlign w:val="center"/>
          </w:tcPr>
          <w:p>
            <w:pPr>
              <w:spacing w:line="46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544" w:type="dxa"/>
            <w:gridSpan w:val="3"/>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投标范围</w:t>
            </w:r>
          </w:p>
        </w:tc>
        <w:tc>
          <w:tcPr>
            <w:tcW w:w="5240" w:type="dxa"/>
            <w:gridSpan w:val="3"/>
            <w:vAlign w:val="center"/>
          </w:tcPr>
          <w:p>
            <w:pPr>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满足招标文件中本项目要求的全部内容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exact"/>
          <w:jc w:val="center"/>
        </w:trPr>
        <w:tc>
          <w:tcPr>
            <w:tcW w:w="3544" w:type="dxa"/>
            <w:gridSpan w:val="3"/>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lang w:eastAsia="zh-CN"/>
              </w:rPr>
              <w:t>报价</w:t>
            </w:r>
          </w:p>
        </w:tc>
        <w:tc>
          <w:tcPr>
            <w:tcW w:w="524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             （</w:t>
            </w:r>
            <w:r>
              <w:rPr>
                <w:rFonts w:hint="eastAsia" w:ascii="宋体" w:hAnsi="宋体" w:eastAsia="宋体" w:cs="宋体"/>
                <w:color w:val="auto"/>
                <w:sz w:val="24"/>
                <w:szCs w:val="24"/>
                <w:highlight w:val="none"/>
                <w:lang w:val="en-US" w:eastAsia="zh-CN"/>
              </w:rPr>
              <w:t>含税</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小写：             （</w:t>
            </w:r>
            <w:r>
              <w:rPr>
                <w:rFonts w:hint="eastAsia" w:ascii="宋体" w:hAnsi="宋体" w:eastAsia="宋体" w:cs="宋体"/>
                <w:color w:val="auto"/>
                <w:sz w:val="24"/>
                <w:szCs w:val="24"/>
                <w:highlight w:val="none"/>
                <w:lang w:val="en-US" w:eastAsia="zh-CN"/>
              </w:rPr>
              <w:t>含税</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w:t>
            </w:r>
            <w:r>
              <w:rPr>
                <w:rFonts w:hint="eastAsia" w:cs="宋体"/>
                <w:color w:val="auto"/>
                <w:sz w:val="24"/>
                <w:szCs w:val="24"/>
                <w:highlight w:val="none"/>
                <w:lang w:val="en-US" w:eastAsia="zh-CN"/>
              </w:rPr>
              <w:t>包含</w:t>
            </w:r>
            <w:r>
              <w:rPr>
                <w:rFonts w:hint="eastAsia" w:ascii="宋体" w:hAnsi="宋体" w:eastAsia="宋体" w:cs="宋体"/>
                <w:color w:val="auto"/>
                <w:sz w:val="24"/>
                <w:szCs w:val="24"/>
                <w:highlight w:val="none"/>
                <w:lang w:val="en-US" w:eastAsia="zh-CN"/>
              </w:rPr>
              <w:t>暂列金</w:t>
            </w:r>
            <w:r>
              <w:rPr>
                <w:rFonts w:hint="eastAsia"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ascii="宋体" w:hAnsi="宋体" w:eastAsia="宋体" w:cs="宋体"/>
                <w:color w:val="auto"/>
                <w:sz w:val="24"/>
                <w:szCs w:val="24"/>
                <w:highlight w:val="none"/>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3544" w:type="dxa"/>
            <w:gridSpan w:val="3"/>
            <w:vAlign w:val="center"/>
          </w:tcPr>
          <w:p>
            <w:pPr>
              <w:spacing w:line="460" w:lineRule="exact"/>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rPr>
              <w:t>质量标准</w:t>
            </w:r>
          </w:p>
        </w:tc>
        <w:tc>
          <w:tcPr>
            <w:tcW w:w="524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满足招标文件中本项目要求的全部内容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3544" w:type="dxa"/>
            <w:gridSpan w:val="3"/>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投标工期</w:t>
            </w:r>
          </w:p>
        </w:tc>
        <w:tc>
          <w:tcPr>
            <w:tcW w:w="5240" w:type="dxa"/>
            <w:gridSpan w:val="3"/>
            <w:vAlign w:val="center"/>
          </w:tcPr>
          <w:p>
            <w:pPr>
              <w:spacing w:line="460" w:lineRule="exact"/>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544" w:type="dxa"/>
            <w:gridSpan w:val="3"/>
            <w:tcBorders>
              <w:bottom w:val="single" w:color="auto" w:sz="4" w:space="0"/>
            </w:tcBorders>
            <w:vAlign w:val="center"/>
          </w:tcPr>
          <w:p>
            <w:pPr>
              <w:spacing w:line="4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投标有效期</w:t>
            </w:r>
          </w:p>
        </w:tc>
        <w:tc>
          <w:tcPr>
            <w:tcW w:w="5240" w:type="dxa"/>
            <w:gridSpan w:val="3"/>
            <w:tcBorders>
              <w:bottom w:val="single" w:color="auto" w:sz="4" w:space="0"/>
            </w:tcBorders>
            <w:vAlign w:val="center"/>
          </w:tcPr>
          <w:p>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120</w:t>
            </w:r>
            <w:r>
              <w:rPr>
                <w:rFonts w:hint="eastAsia" w:ascii="宋体" w:hAnsi="宋体" w:eastAsia="宋体" w:cs="宋体"/>
                <w:color w:val="auto"/>
                <w:sz w:val="24"/>
                <w:szCs w:val="24"/>
                <w:highlight w:val="none"/>
                <w:lang w:eastAsia="zh-CN"/>
              </w:rPr>
              <w:t>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544" w:type="dxa"/>
            <w:gridSpan w:val="3"/>
            <w:tcBorders>
              <w:bottom w:val="single" w:color="auto" w:sz="4" w:space="0"/>
            </w:tcBorders>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需要说明的问题</w:t>
            </w:r>
          </w:p>
        </w:tc>
        <w:tc>
          <w:tcPr>
            <w:tcW w:w="5240" w:type="dxa"/>
            <w:gridSpan w:val="3"/>
            <w:vAlign w:val="center"/>
          </w:tcPr>
          <w:p>
            <w:pPr>
              <w:spacing w:line="460" w:lineRule="exact"/>
              <w:rPr>
                <w:rFonts w:hint="eastAsia" w:ascii="宋体" w:hAnsi="宋体" w:eastAsia="宋体" w:cs="宋体"/>
                <w:b/>
                <w:color w:val="auto"/>
                <w:sz w:val="24"/>
                <w:szCs w:val="24"/>
                <w:highlight w:val="none"/>
              </w:rPr>
            </w:pPr>
          </w:p>
        </w:tc>
      </w:tr>
    </w:tbl>
    <w:p>
      <w:pPr>
        <w:spacing w:line="360" w:lineRule="auto"/>
        <w:jc w:val="right"/>
        <w:rPr>
          <w:rFonts w:hint="eastAsia" w:ascii="宋体" w:hAnsi="宋体" w:eastAsia="宋体" w:cs="宋体"/>
          <w:color w:val="auto"/>
          <w:sz w:val="24"/>
          <w:szCs w:val="24"/>
          <w:highlight w:val="none"/>
          <w:lang w:eastAsia="zh-CN"/>
        </w:rPr>
      </w:pPr>
    </w:p>
    <w:p>
      <w:pPr>
        <w:spacing w:line="360" w:lineRule="auto"/>
        <w:jc w:val="right"/>
        <w:rPr>
          <w:rFonts w:hint="eastAsia" w:ascii="宋体" w:hAnsi="宋体" w:eastAsia="宋体" w:cs="宋体"/>
          <w:color w:val="auto"/>
          <w:sz w:val="24"/>
          <w:szCs w:val="24"/>
          <w:highlight w:val="none"/>
          <w:lang w:eastAsia="zh-CN"/>
        </w:rPr>
      </w:pPr>
    </w:p>
    <w:p>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（盖章）</w:t>
      </w:r>
    </w:p>
    <w:p>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法定代表人或其委托代理人：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spacing w:line="360" w:lineRule="auto"/>
        <w:ind w:firstLine="240" w:firstLineChars="1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spacing w:line="360" w:lineRule="auto"/>
        <w:ind w:firstLine="240" w:firstLineChars="100"/>
        <w:jc w:val="right"/>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bookmarkStart w:id="477" w:name="_GoBack"/>
      <w:bookmarkEnd w:id="477"/>
      <w:r>
        <w:rPr>
          <w:rFonts w:hint="eastAsia" w:ascii="宋体" w:hAnsi="宋体" w:eastAsia="宋体" w:cs="宋体"/>
          <w:color w:val="auto"/>
          <w:sz w:val="24"/>
          <w:szCs w:val="24"/>
          <w:highlight w:val="none"/>
          <w:lang w:eastAsia="zh-CN"/>
        </w:rPr>
        <w:br w:type="page"/>
      </w:r>
    </w:p>
    <w:p>
      <w:pPr>
        <w:pStyle w:val="2"/>
        <w:rPr>
          <w:rFonts w:hint="eastAsia"/>
          <w:lang w:eastAsia="zh-CN"/>
        </w:rPr>
      </w:pPr>
    </w:p>
    <w:p>
      <w:pPr>
        <w:pStyle w:val="2"/>
        <w:rPr>
          <w:rFonts w:hint="eastAsia" w:ascii="宋体" w:hAnsi="宋体" w:eastAsia="宋体" w:cs="宋体"/>
          <w:color w:val="auto"/>
          <w:sz w:val="24"/>
          <w:szCs w:val="24"/>
          <w:highlight w:val="none"/>
          <w:lang w:eastAsia="zh-CN"/>
        </w:rPr>
      </w:pPr>
      <w:bookmarkStart w:id="317" w:name="C1"/>
      <w:bookmarkEnd w:id="317"/>
      <w:bookmarkStart w:id="318" w:name="_Toc19769"/>
      <w:bookmarkStart w:id="319" w:name="_Toc633"/>
      <w:bookmarkStart w:id="320" w:name="_Toc6086"/>
      <w:bookmarkStart w:id="321" w:name="_Toc24603"/>
      <w:bookmarkStart w:id="322" w:name="_Toc24648_WPSOffice_Level2"/>
      <w:bookmarkStart w:id="323" w:name="_Toc14624_WPSOffice_Level2"/>
      <w:bookmarkStart w:id="324" w:name="_Toc10637"/>
      <w:bookmarkStart w:id="325" w:name="_Toc18709"/>
      <w:bookmarkStart w:id="326" w:name="_Toc12564"/>
      <w:bookmarkStart w:id="327" w:name="_Toc394042555"/>
      <w:r>
        <w:rPr>
          <w:rFonts w:hint="eastAsia" w:ascii="宋体" w:hAnsi="宋体" w:eastAsia="宋体" w:cs="宋体"/>
          <w:color w:val="auto"/>
          <w:sz w:val="24"/>
          <w:szCs w:val="24"/>
          <w:highlight w:val="none"/>
          <w:lang w:eastAsia="zh-CN"/>
        </w:rPr>
        <w:t>二、法定代表人身份证明</w:t>
      </w:r>
      <w:bookmarkEnd w:id="318"/>
      <w:bookmarkEnd w:id="319"/>
      <w:bookmarkEnd w:id="320"/>
      <w:bookmarkEnd w:id="321"/>
      <w:bookmarkEnd w:id="322"/>
      <w:bookmarkEnd w:id="323"/>
      <w:bookmarkEnd w:id="324"/>
      <w:bookmarkEnd w:id="325"/>
      <w:bookmarkEnd w:id="326"/>
      <w:bookmarkEnd w:id="327"/>
    </w:p>
    <w:p>
      <w:pPr>
        <w:spacing w:line="500" w:lineRule="exact"/>
        <w:rPr>
          <w:rFonts w:hint="eastAsia" w:ascii="宋体" w:hAnsi="宋体" w:eastAsia="宋体" w:cs="宋体"/>
          <w:color w:val="auto"/>
          <w:sz w:val="24"/>
          <w:szCs w:val="24"/>
          <w:highlight w:val="none"/>
          <w:lang w:eastAsia="zh-CN"/>
        </w:rPr>
      </w:pP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 标 人：</w:t>
      </w:r>
      <w:r>
        <w:rPr>
          <w:rFonts w:hint="eastAsia" w:ascii="宋体" w:hAnsi="宋体" w:eastAsia="宋体" w:cs="宋体"/>
          <w:color w:val="auto"/>
          <w:sz w:val="24"/>
          <w:szCs w:val="24"/>
          <w:highlight w:val="none"/>
          <w:u w:val="single"/>
          <w:lang w:eastAsia="zh-CN"/>
        </w:rPr>
        <w:t xml:space="preserve">                     </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 xml:space="preserve">                     </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成立时间：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经营期限：</w:t>
      </w:r>
      <w:r>
        <w:rPr>
          <w:rFonts w:hint="eastAsia" w:ascii="宋体" w:hAnsi="宋体" w:eastAsia="宋体" w:cs="宋体"/>
          <w:color w:val="auto"/>
          <w:sz w:val="24"/>
          <w:szCs w:val="24"/>
          <w:highlight w:val="none"/>
          <w:u w:val="single"/>
          <w:lang w:eastAsia="zh-CN"/>
        </w:rPr>
        <w:t xml:space="preserve">                     </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姓    名：</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性    别：</w:t>
      </w:r>
      <w:r>
        <w:rPr>
          <w:rFonts w:hint="eastAsia" w:ascii="宋体" w:hAnsi="宋体" w:eastAsia="宋体" w:cs="宋体"/>
          <w:color w:val="auto"/>
          <w:sz w:val="24"/>
          <w:szCs w:val="24"/>
          <w:highlight w:val="none"/>
          <w:u w:val="single"/>
          <w:lang w:eastAsia="zh-CN"/>
        </w:rPr>
        <w:t xml:space="preserve">           </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    龄：</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职    务：</w:t>
      </w:r>
      <w:r>
        <w:rPr>
          <w:rFonts w:hint="eastAsia" w:ascii="宋体" w:hAnsi="宋体" w:eastAsia="宋体" w:cs="宋体"/>
          <w:color w:val="auto"/>
          <w:sz w:val="24"/>
          <w:szCs w:val="24"/>
          <w:highlight w:val="none"/>
          <w:u w:val="single"/>
          <w:lang w:eastAsia="zh-CN"/>
        </w:rPr>
        <w:t xml:space="preserve">           </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（投标人名称）的法定代表人。</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特此证明。</w:t>
      </w: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附：法定代表人身份证（正反面）</w:t>
      </w:r>
    </w:p>
    <w:p>
      <w:pPr>
        <w:spacing w:line="500" w:lineRule="exact"/>
        <w:rPr>
          <w:rFonts w:hint="eastAsia" w:ascii="宋体" w:hAnsi="宋体" w:eastAsia="宋体" w:cs="宋体"/>
          <w:color w:val="auto"/>
          <w:sz w:val="24"/>
          <w:szCs w:val="24"/>
          <w:highlight w:val="none"/>
          <w:lang w:eastAsia="zh-CN"/>
        </w:rPr>
      </w:pPr>
    </w:p>
    <w:p>
      <w:pPr>
        <w:wordWrap w:val="0"/>
        <w:spacing w:line="500"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（盖单位章）</w:t>
      </w:r>
    </w:p>
    <w:p>
      <w:pPr>
        <w:wordWrap w:val="0"/>
        <w:spacing w:line="500"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pStyle w:val="2"/>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br w:type="page"/>
      </w:r>
      <w:bookmarkStart w:id="328" w:name="_Toc31620"/>
      <w:bookmarkStart w:id="329" w:name="_Toc18346_WPSOffice_Level2"/>
      <w:bookmarkStart w:id="330" w:name="_Toc394042556"/>
      <w:bookmarkStart w:id="331" w:name="_Toc7086"/>
      <w:bookmarkStart w:id="332" w:name="_Toc12744"/>
      <w:bookmarkStart w:id="333" w:name="_Toc111"/>
      <w:bookmarkStart w:id="334" w:name="_Toc17179"/>
      <w:bookmarkStart w:id="335" w:name="_Toc405_WPSOffice_Level2"/>
      <w:bookmarkStart w:id="336" w:name="_Toc3444"/>
      <w:bookmarkStart w:id="337" w:name="_Toc13420"/>
      <w:r>
        <w:rPr>
          <w:rFonts w:hint="eastAsia" w:ascii="宋体" w:hAnsi="宋体" w:eastAsia="宋体" w:cs="宋体"/>
          <w:color w:val="auto"/>
          <w:sz w:val="24"/>
          <w:szCs w:val="24"/>
          <w:highlight w:val="none"/>
          <w:lang w:eastAsia="zh-CN"/>
        </w:rPr>
        <w:t>三、授权委托书</w:t>
      </w:r>
      <w:bookmarkEnd w:id="328"/>
      <w:bookmarkEnd w:id="329"/>
      <w:bookmarkEnd w:id="330"/>
      <w:bookmarkEnd w:id="331"/>
      <w:bookmarkEnd w:id="332"/>
      <w:bookmarkEnd w:id="333"/>
      <w:bookmarkEnd w:id="334"/>
      <w:bookmarkEnd w:id="335"/>
      <w:r>
        <w:rPr>
          <w:rFonts w:hint="eastAsia" w:ascii="宋体" w:hAnsi="宋体" w:eastAsia="宋体" w:cs="宋体"/>
          <w:color w:val="auto"/>
          <w:sz w:val="24"/>
          <w:szCs w:val="24"/>
          <w:highlight w:val="none"/>
          <w:lang w:eastAsia="zh-CN"/>
        </w:rPr>
        <w:t>（无委托代理人可不提供）</w:t>
      </w:r>
      <w:bookmarkEnd w:id="336"/>
      <w:bookmarkEnd w:id="337"/>
    </w:p>
    <w:p>
      <w:pPr>
        <w:spacing w:line="500" w:lineRule="exact"/>
        <w:ind w:firstLine="480" w:firstLineChars="200"/>
        <w:rPr>
          <w:rFonts w:hint="eastAsia" w:ascii="宋体" w:hAnsi="宋体" w:eastAsia="宋体" w:cs="宋体"/>
          <w:color w:val="auto"/>
          <w:sz w:val="24"/>
          <w:szCs w:val="24"/>
          <w:highlight w:val="none"/>
          <w:lang w:eastAsia="zh-CN"/>
        </w:rPr>
      </w:pPr>
    </w:p>
    <w:p>
      <w:pPr>
        <w:spacing w:line="500" w:lineRule="exact"/>
        <w:ind w:left="240" w:leftChars="109"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（姓名）系</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（投标人名称）的法定代表人，现委托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（姓名）为我方代理人。代理人根据授权，以我方名义签署、澄清、说明、补正、递交、撤回、修改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（项目名称）投标文件、签订合同和处理有关事宜，其法律后果由我方承担。</w:t>
      </w:r>
    </w:p>
    <w:p>
      <w:pPr>
        <w:spacing w:line="500" w:lineRule="exact"/>
        <w:ind w:left="240" w:leftChars="109"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委托期限：</w:t>
      </w:r>
      <w:r>
        <w:rPr>
          <w:rFonts w:hint="eastAsia" w:ascii="宋体" w:hAnsi="宋体" w:eastAsia="宋体" w:cs="宋体"/>
          <w:color w:val="auto"/>
          <w:sz w:val="24"/>
          <w:szCs w:val="24"/>
          <w:highlight w:val="none"/>
          <w:u w:val="single"/>
          <w:lang w:eastAsia="zh-CN" w:bidi="ar"/>
        </w:rPr>
        <w:t>自投标截止之日起至投标有效期期满止</w:t>
      </w:r>
      <w:r>
        <w:rPr>
          <w:rFonts w:hint="eastAsia" w:ascii="宋体" w:hAnsi="宋体" w:eastAsia="宋体" w:cs="宋体"/>
          <w:color w:val="auto"/>
          <w:sz w:val="24"/>
          <w:szCs w:val="24"/>
          <w:highlight w:val="none"/>
          <w:lang w:eastAsia="zh-CN" w:bidi="ar"/>
        </w:rPr>
        <w:t>。</w:t>
      </w:r>
    </w:p>
    <w:p>
      <w:pPr>
        <w:spacing w:before="240" w:beforeLines="100" w:after="240" w:afterLines="100"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代理人无转委托权。</w:t>
      </w:r>
    </w:p>
    <w:p>
      <w:pPr>
        <w:spacing w:after="240" w:afterLines="100"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附：法定代表人身份证、代理人身份证（正反面）</w:t>
      </w:r>
    </w:p>
    <w:p>
      <w:pPr>
        <w:spacing w:line="500" w:lineRule="exact"/>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（盖单位公章）</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身份证号码：</w:t>
      </w:r>
      <w:r>
        <w:rPr>
          <w:rFonts w:hint="eastAsia" w:ascii="宋体" w:hAnsi="宋体" w:eastAsia="宋体" w:cs="宋体"/>
          <w:color w:val="auto"/>
          <w:sz w:val="24"/>
          <w:szCs w:val="24"/>
          <w:highlight w:val="none"/>
          <w:u w:val="single"/>
          <w:lang w:eastAsia="zh-CN"/>
        </w:rPr>
        <w:t xml:space="preserve">                  </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（签字或盖章） </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身份证号码：</w:t>
      </w:r>
      <w:r>
        <w:rPr>
          <w:rFonts w:hint="eastAsia" w:ascii="宋体" w:hAnsi="宋体" w:eastAsia="宋体" w:cs="宋体"/>
          <w:color w:val="auto"/>
          <w:sz w:val="24"/>
          <w:szCs w:val="24"/>
          <w:highlight w:val="none"/>
          <w:u w:val="single"/>
          <w:lang w:eastAsia="zh-CN"/>
        </w:rPr>
        <w:t xml:space="preserve">                  </w:t>
      </w:r>
    </w:p>
    <w:p>
      <w:pPr>
        <w:spacing w:line="400" w:lineRule="exact"/>
        <w:jc w:val="right"/>
        <w:rPr>
          <w:rFonts w:hint="eastAsia" w:ascii="宋体" w:hAnsi="宋体" w:eastAsia="宋体" w:cs="宋体"/>
          <w:color w:val="auto"/>
          <w:sz w:val="24"/>
          <w:szCs w:val="24"/>
          <w:highlight w:val="none"/>
          <w:lang w:eastAsia="zh-CN"/>
        </w:rPr>
      </w:pPr>
    </w:p>
    <w:p>
      <w:pPr>
        <w:wordWrap w:val="0"/>
        <w:spacing w:line="500" w:lineRule="exact"/>
        <w:ind w:firstLine="2880" w:firstLineChars="1200"/>
        <w:jc w:val="both"/>
        <w:rPr>
          <w:rFonts w:hint="eastAsia" w:ascii="宋体" w:hAnsi="宋体" w:eastAsia="宋体" w:cs="宋体"/>
          <w:color w:val="auto"/>
          <w:sz w:val="24"/>
          <w:szCs w:val="24"/>
          <w:highlight w:val="none"/>
          <w:lang w:eastAsia="zh-CN"/>
        </w:rPr>
      </w:pPr>
      <w:bookmarkStart w:id="338" w:name="_Toc4546"/>
      <w:bookmarkStart w:id="339" w:name="_Toc26417"/>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spacing w:line="440" w:lineRule="exact"/>
        <w:ind w:firstLine="2160" w:firstLineChars="900"/>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bookmarkStart w:id="340" w:name="_Toc21738"/>
      <w:bookmarkStart w:id="341" w:name="_Toc22913"/>
      <w:r>
        <w:rPr>
          <w:rFonts w:hint="eastAsia" w:ascii="宋体" w:hAnsi="宋体" w:eastAsia="宋体" w:cs="宋体"/>
          <w:bCs/>
          <w:color w:val="auto"/>
          <w:sz w:val="24"/>
          <w:szCs w:val="24"/>
          <w:highlight w:val="none"/>
          <w:lang w:eastAsia="zh-CN"/>
        </w:rPr>
        <w:br w:type="column"/>
      </w:r>
      <w:bookmarkStart w:id="342" w:name="_Toc32509_WPSOffice_Level2"/>
      <w:bookmarkStart w:id="343" w:name="_Toc17233_WPSOffice_Level2"/>
      <w:r>
        <w:rPr>
          <w:rFonts w:hint="eastAsia" w:ascii="宋体" w:hAnsi="宋体" w:eastAsia="宋体" w:cs="宋体"/>
          <w:color w:val="auto"/>
          <w:sz w:val="24"/>
          <w:szCs w:val="24"/>
          <w:highlight w:val="none"/>
          <w:lang w:eastAsia="zh-CN"/>
        </w:rPr>
        <w:t>四、投标保证金</w:t>
      </w:r>
      <w:bookmarkEnd w:id="338"/>
      <w:bookmarkEnd w:id="339"/>
      <w:bookmarkEnd w:id="340"/>
      <w:bookmarkEnd w:id="341"/>
      <w:bookmarkEnd w:id="342"/>
      <w:bookmarkEnd w:id="343"/>
    </w:p>
    <w:p>
      <w:pPr>
        <w:spacing w:line="440" w:lineRule="exact"/>
        <w:jc w:val="center"/>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344" w:name="_Toc14331"/>
      <w:bookmarkStart w:id="345" w:name="_Toc3990"/>
      <w:bookmarkStart w:id="346" w:name="_Toc394042560"/>
      <w:bookmarkStart w:id="347" w:name="_Toc15657"/>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采用银行转账及电汇的附投标保证金汇款凭证及基本账户开户许可证或基本存款账户信息复印件</w:t>
      </w:r>
      <w:r>
        <w:rPr>
          <w:rFonts w:hint="eastAsia" w:ascii="宋体" w:hAnsi="宋体" w:eastAsia="宋体" w:cs="宋体"/>
          <w:color w:val="auto"/>
          <w:sz w:val="24"/>
          <w:szCs w:val="24"/>
          <w:highlight w:val="none"/>
          <w:lang w:eastAsia="zh-CN"/>
        </w:rPr>
        <w:cr/>
      </w: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lang w:eastAsia="zh-CN"/>
        </w:rPr>
        <w:t>采用电子保函的附保函的复印件或扫描件</w:t>
      </w:r>
      <w:r>
        <w:rPr>
          <w:rFonts w:hint="eastAsia" w:ascii="宋体" w:hAnsi="宋体" w:eastAsia="宋体" w:cs="宋体"/>
          <w:color w:val="auto"/>
          <w:sz w:val="24"/>
          <w:szCs w:val="24"/>
          <w:highlight w:val="none"/>
          <w:lang w:eastAsia="zh-CN"/>
        </w:rPr>
        <w:cr/>
      </w: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68"/>
        <w:outlineLvl w:val="9"/>
        <w:rPr>
          <w:rFonts w:hint="eastAsia" w:ascii="宋体" w:hAnsi="宋体" w:eastAsia="宋体" w:cs="宋体"/>
          <w:bCs/>
          <w:color w:val="auto"/>
          <w:sz w:val="24"/>
          <w:szCs w:val="24"/>
          <w:highlight w:val="none"/>
        </w:rPr>
      </w:pPr>
    </w:p>
    <w:p>
      <w:pPr>
        <w:pStyle w:val="2"/>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br w:type="page"/>
      </w:r>
      <w:bookmarkStart w:id="348" w:name="_Toc6687_WPSOffice_Level2"/>
      <w:bookmarkStart w:id="349" w:name="_Toc30237_WPSOffice_Level2"/>
      <w:bookmarkStart w:id="350" w:name="_Toc24946"/>
      <w:bookmarkStart w:id="351" w:name="_Toc1743"/>
      <w:bookmarkStart w:id="352" w:name="_Toc21199"/>
      <w:bookmarkStart w:id="353" w:name="_Toc13714"/>
      <w:r>
        <w:rPr>
          <w:rFonts w:hint="eastAsia" w:ascii="宋体" w:hAnsi="宋体" w:eastAsia="宋体" w:cs="宋体"/>
          <w:color w:val="auto"/>
          <w:sz w:val="24"/>
          <w:szCs w:val="24"/>
          <w:highlight w:val="none"/>
          <w:lang w:eastAsia="zh-CN"/>
        </w:rPr>
        <w:t>五、</w:t>
      </w:r>
      <w:bookmarkEnd w:id="348"/>
      <w:bookmarkEnd w:id="349"/>
      <w:bookmarkEnd w:id="350"/>
      <w:bookmarkEnd w:id="351"/>
      <w:bookmarkStart w:id="354" w:name="_Toc144974875"/>
      <w:bookmarkStart w:id="355" w:name="_Toc152045807"/>
      <w:bookmarkStart w:id="356" w:name="_Toc6321748"/>
      <w:bookmarkStart w:id="357" w:name="_Toc152042596"/>
      <w:bookmarkStart w:id="358" w:name="_Toc6027"/>
      <w:bookmarkStart w:id="359" w:name="_Toc6321922"/>
      <w:bookmarkStart w:id="360" w:name="_Toc22681"/>
      <w:bookmarkStart w:id="361" w:name="_Toc31468_WPSOffice_Level2"/>
      <w:bookmarkStart w:id="362" w:name="_Toc10892"/>
      <w:bookmarkStart w:id="363" w:name="_Toc1945_WPSOffice_Level2"/>
      <w:bookmarkStart w:id="364" w:name="_Toc19377"/>
      <w:r>
        <w:rPr>
          <w:rFonts w:hint="eastAsia" w:ascii="宋体" w:hAnsi="宋体" w:eastAsia="宋体" w:cs="宋体"/>
          <w:color w:val="auto"/>
          <w:sz w:val="24"/>
          <w:szCs w:val="24"/>
          <w:highlight w:val="none"/>
          <w:lang w:eastAsia="zh-CN"/>
        </w:rPr>
        <w:t>资格审查资料</w:t>
      </w:r>
      <w:bookmarkEnd w:id="352"/>
      <w:bookmarkEnd w:id="353"/>
      <w:bookmarkEnd w:id="354"/>
      <w:bookmarkEnd w:id="355"/>
      <w:bookmarkEnd w:id="356"/>
      <w:bookmarkEnd w:id="357"/>
      <w:bookmarkEnd w:id="358"/>
      <w:bookmarkEnd w:id="359"/>
      <w:bookmarkEnd w:id="360"/>
    </w:p>
    <w:p>
      <w:pPr>
        <w:bidi w:val="0"/>
        <w:jc w:val="center"/>
        <w:rPr>
          <w:rFonts w:hint="eastAsia" w:ascii="宋体" w:hAnsi="宋体" w:eastAsia="宋体" w:cs="宋体"/>
          <w:color w:val="auto"/>
          <w:sz w:val="24"/>
          <w:szCs w:val="24"/>
          <w:highlight w:val="none"/>
        </w:rPr>
      </w:pPr>
      <w:bookmarkStart w:id="365" w:name="_Toc6321923"/>
      <w:bookmarkStart w:id="366" w:name="_Toc152045808"/>
      <w:bookmarkStart w:id="367" w:name="_Toc8503"/>
      <w:bookmarkStart w:id="368" w:name="_Toc6321749"/>
      <w:bookmarkStart w:id="369" w:name="_Toc152042597"/>
      <w:bookmarkStart w:id="370" w:name="_Toc144974876"/>
      <w:r>
        <w:rPr>
          <w:rFonts w:hint="eastAsia" w:ascii="宋体" w:hAnsi="宋体" w:eastAsia="宋体" w:cs="宋体"/>
          <w:color w:val="auto"/>
          <w:sz w:val="24"/>
          <w:szCs w:val="24"/>
          <w:highlight w:val="none"/>
        </w:rPr>
        <w:t>（一）投标人基本情况表</w:t>
      </w:r>
      <w:bookmarkEnd w:id="365"/>
      <w:bookmarkEnd w:id="366"/>
      <w:bookmarkEnd w:id="367"/>
      <w:bookmarkEnd w:id="368"/>
      <w:bookmarkEnd w:id="369"/>
      <w:bookmarkEnd w:id="370"/>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273"/>
        <w:gridCol w:w="295"/>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4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14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14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24"/>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eastAsia="zh-CN"/>
        </w:rPr>
        <w:sectPr>
          <w:footerReference r:id="rId9" w:type="default"/>
          <w:pgSz w:w="11907" w:h="16840"/>
          <w:pgMar w:top="1500" w:right="1720" w:bottom="1120" w:left="1720" w:header="0" w:footer="921" w:gutter="0"/>
          <w:pgNumType w:fmt="decimal"/>
          <w:cols w:space="720" w:num="1"/>
        </w:sectPr>
      </w:pPr>
      <w:bookmarkStart w:id="371" w:name="_Toc6321926"/>
      <w:bookmarkStart w:id="372" w:name="_Toc6321752"/>
    </w:p>
    <w:p>
      <w:pPr>
        <w:bidi w:val="0"/>
        <w:rPr>
          <w:rFonts w:hint="eastAsia" w:ascii="宋体" w:hAnsi="宋体" w:eastAsia="宋体" w:cs="宋体"/>
          <w:color w:val="auto"/>
          <w:sz w:val="24"/>
          <w:szCs w:val="24"/>
          <w:highlight w:val="none"/>
          <w:lang w:eastAsia="zh-CN"/>
        </w:rPr>
      </w:pPr>
      <w:bookmarkStart w:id="373" w:name="_Toc20218"/>
      <w:r>
        <w:rPr>
          <w:rFonts w:hint="eastAsia" w:ascii="宋体" w:hAnsi="宋体" w:eastAsia="宋体" w:cs="宋体"/>
          <w:color w:val="auto"/>
          <w:sz w:val="24"/>
          <w:szCs w:val="24"/>
          <w:highlight w:val="none"/>
          <w:lang w:eastAsia="zh-CN"/>
        </w:rPr>
        <w:t>（二）资格要求</w:t>
      </w:r>
      <w:bookmarkEnd w:id="373"/>
    </w:p>
    <w:p>
      <w:pPr>
        <w:rPr>
          <w:rFonts w:hint="eastAsia" w:ascii="宋体" w:hAnsi="宋体" w:eastAsia="宋体" w:cs="宋体"/>
          <w:b/>
          <w:color w:val="auto"/>
          <w:kern w:val="2"/>
          <w:sz w:val="24"/>
          <w:szCs w:val="24"/>
          <w:highlight w:val="none"/>
          <w:lang w:eastAsia="zh-CN"/>
        </w:rPr>
      </w:pPr>
    </w:p>
    <w:p>
      <w:pPr>
        <w:pStyle w:val="34"/>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1.营业执照</w:t>
      </w:r>
    </w:p>
    <w:p>
      <w:pPr>
        <w:pStyle w:val="34"/>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2.企业资质</w:t>
      </w:r>
    </w:p>
    <w:p>
      <w:pPr>
        <w:pStyle w:val="34"/>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3.安全生产许可证</w:t>
      </w:r>
    </w:p>
    <w:p>
      <w:pPr>
        <w:pStyle w:val="34"/>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4.项目经理相关资料</w:t>
      </w:r>
    </w:p>
    <w:p>
      <w:pPr>
        <w:pStyle w:val="34"/>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5.企业业绩</w:t>
      </w:r>
    </w:p>
    <w:p>
      <w:pPr>
        <w:pStyle w:val="9"/>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6.失信被执行人查询</w:t>
      </w:r>
      <w:bookmarkEnd w:id="371"/>
      <w:bookmarkEnd w:id="372"/>
      <w:bookmarkStart w:id="374" w:name="_Toc6321937"/>
      <w:bookmarkStart w:id="375" w:name="_Toc6321763"/>
      <w:bookmarkStart w:id="376" w:name="_Toc19977"/>
      <w:bookmarkStart w:id="377" w:name="_Toc2624"/>
    </w:p>
    <w:bookmarkEnd w:id="374"/>
    <w:bookmarkEnd w:id="375"/>
    <w:bookmarkEnd w:id="376"/>
    <w:bookmarkEnd w:id="377"/>
    <w:p>
      <w:pPr>
        <w:tabs>
          <w:tab w:val="left" w:pos="7235"/>
        </w:tabs>
        <w:rPr>
          <w:rFonts w:hint="eastAsia" w:ascii="宋体" w:hAnsi="宋体" w:eastAsia="宋体" w:cs="宋体"/>
          <w:color w:val="auto"/>
          <w:sz w:val="24"/>
          <w:szCs w:val="24"/>
          <w:highlight w:val="none"/>
          <w:lang w:eastAsia="zh-CN"/>
        </w:rPr>
        <w:sectPr>
          <w:pgSz w:w="11907" w:h="16840"/>
          <w:pgMar w:top="1500" w:right="1720" w:bottom="1120" w:left="1720" w:header="0" w:footer="921" w:gutter="0"/>
          <w:pgNumType w:fmt="decimal"/>
          <w:cols w:space="720" w:num="1"/>
        </w:sectPr>
      </w:pPr>
      <w:r>
        <w:rPr>
          <w:rFonts w:hint="eastAsia" w:ascii="宋体" w:hAnsi="宋体" w:eastAsia="宋体" w:cs="宋体"/>
          <w:color w:val="auto"/>
          <w:sz w:val="24"/>
          <w:szCs w:val="24"/>
          <w:highlight w:val="none"/>
          <w:lang w:eastAsia="zh-CN"/>
        </w:rPr>
        <w:tab/>
      </w:r>
    </w:p>
    <w:p>
      <w:pPr>
        <w:bidi w:val="0"/>
        <w:rPr>
          <w:rFonts w:hint="eastAsia" w:ascii="宋体" w:hAnsi="宋体" w:eastAsia="宋体" w:cs="宋体"/>
          <w:color w:val="auto"/>
          <w:sz w:val="24"/>
          <w:szCs w:val="24"/>
          <w:highlight w:val="none"/>
          <w:lang w:eastAsia="zh-CN"/>
        </w:rPr>
      </w:pPr>
      <w:bookmarkStart w:id="378" w:name="_Toc25325"/>
      <w:r>
        <w:rPr>
          <w:rFonts w:hint="eastAsia" w:ascii="宋体" w:hAnsi="宋体" w:eastAsia="宋体" w:cs="宋体"/>
          <w:color w:val="auto"/>
          <w:sz w:val="24"/>
          <w:szCs w:val="24"/>
          <w:highlight w:val="none"/>
          <w:lang w:eastAsia="zh-CN"/>
        </w:rPr>
        <w:t>（三）项目管理机构</w:t>
      </w:r>
      <w:bookmarkEnd w:id="378"/>
    </w:p>
    <w:p>
      <w:pPr>
        <w:spacing w:line="360" w:lineRule="auto"/>
        <w:rPr>
          <w:rFonts w:hint="eastAsia" w:ascii="宋体" w:hAnsi="宋体" w:eastAsia="宋体" w:cs="宋体"/>
          <w:b/>
          <w:bCs/>
          <w:color w:val="auto"/>
          <w:sz w:val="24"/>
          <w:szCs w:val="24"/>
          <w:highlight w:val="none"/>
        </w:rPr>
      </w:pPr>
      <w:bookmarkStart w:id="379" w:name="_Toc2362"/>
      <w:bookmarkStart w:id="380" w:name="_Toc5004_WPSOffice_Level2"/>
      <w:bookmarkStart w:id="381" w:name="_Toc4942"/>
      <w:bookmarkStart w:id="382" w:name="_Toc6010_WPSOffice_Level2"/>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项目管理机构组成表</w:t>
      </w:r>
      <w:bookmarkEnd w:id="379"/>
      <w:bookmarkEnd w:id="380"/>
      <w:bookmarkEnd w:id="381"/>
      <w:bookmarkEnd w:id="38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09"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09"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670" w:type="dxa"/>
            <w:gridSpan w:val="5"/>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08"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hint="eastAsia" w:ascii="宋体" w:hAnsi="宋体" w:eastAsia="宋体" w:cs="宋体"/>
                <w:color w:val="auto"/>
                <w:sz w:val="24"/>
                <w:szCs w:val="24"/>
                <w:highlight w:val="none"/>
              </w:rPr>
            </w:pPr>
          </w:p>
        </w:tc>
        <w:tc>
          <w:tcPr>
            <w:tcW w:w="709" w:type="dxa"/>
            <w:vMerge w:val="continue"/>
            <w:vAlign w:val="center"/>
          </w:tcPr>
          <w:p>
            <w:pPr>
              <w:jc w:val="center"/>
              <w:rPr>
                <w:rFonts w:hint="eastAsia" w:ascii="宋体" w:hAnsi="宋体" w:eastAsia="宋体" w:cs="宋体"/>
                <w:color w:val="auto"/>
                <w:sz w:val="24"/>
                <w:szCs w:val="24"/>
                <w:highlight w:val="none"/>
              </w:rPr>
            </w:pPr>
          </w:p>
        </w:tc>
        <w:tc>
          <w:tcPr>
            <w:tcW w:w="709" w:type="dxa"/>
            <w:vMerge w:val="continue"/>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77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78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85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2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708" w:type="dxa"/>
            <w:vMerge w:val="continue"/>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709"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771" w:type="dxa"/>
            <w:vAlign w:val="center"/>
          </w:tcPr>
          <w:p>
            <w:pPr>
              <w:jc w:val="center"/>
              <w:rPr>
                <w:rFonts w:hint="eastAsia" w:ascii="宋体" w:hAnsi="宋体" w:eastAsia="宋体" w:cs="宋体"/>
                <w:color w:val="auto"/>
                <w:sz w:val="24"/>
                <w:szCs w:val="24"/>
                <w:highlight w:val="none"/>
              </w:rPr>
            </w:pPr>
          </w:p>
        </w:tc>
        <w:tc>
          <w:tcPr>
            <w:tcW w:w="788" w:type="dxa"/>
            <w:vAlign w:val="center"/>
          </w:tcPr>
          <w:p>
            <w:pPr>
              <w:jc w:val="center"/>
              <w:rPr>
                <w:rFonts w:hint="eastAsia" w:ascii="宋体" w:hAnsi="宋体" w:eastAsia="宋体" w:cs="宋体"/>
                <w:color w:val="auto"/>
                <w:sz w:val="24"/>
                <w:szCs w:val="24"/>
                <w:highlight w:val="none"/>
              </w:rPr>
            </w:pPr>
          </w:p>
        </w:tc>
        <w:tc>
          <w:tcPr>
            <w:tcW w:w="850" w:type="dxa"/>
            <w:vAlign w:val="center"/>
          </w:tcPr>
          <w:p>
            <w:pPr>
              <w:jc w:val="center"/>
              <w:rPr>
                <w:rFonts w:hint="eastAsia" w:ascii="宋体" w:hAnsi="宋体" w:eastAsia="宋体" w:cs="宋体"/>
                <w:color w:val="auto"/>
                <w:sz w:val="24"/>
                <w:szCs w:val="24"/>
                <w:highlight w:val="none"/>
              </w:rPr>
            </w:pPr>
          </w:p>
        </w:tc>
        <w:tc>
          <w:tcPr>
            <w:tcW w:w="2127" w:type="dxa"/>
            <w:vAlign w:val="center"/>
          </w:tcPr>
          <w:p>
            <w:pPr>
              <w:jc w:val="center"/>
              <w:rPr>
                <w:rFonts w:hint="eastAsia" w:ascii="宋体" w:hAnsi="宋体" w:eastAsia="宋体" w:cs="宋体"/>
                <w:color w:val="auto"/>
                <w:sz w:val="24"/>
                <w:szCs w:val="24"/>
                <w:highlight w:val="none"/>
              </w:rPr>
            </w:pPr>
          </w:p>
        </w:tc>
        <w:tc>
          <w:tcPr>
            <w:tcW w:w="708" w:type="dxa"/>
            <w:vAlign w:val="center"/>
          </w:tcPr>
          <w:p>
            <w:pPr>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83" w:name="_Toc17552_WPSOffice_Level2"/>
      <w:bookmarkStart w:id="384" w:name="_Toc18268_WPSOffice_Level2"/>
      <w:bookmarkStart w:id="385" w:name="_Toc13236"/>
      <w:bookmarkStart w:id="386" w:name="_Toc30692"/>
      <w:r>
        <w:rPr>
          <w:rFonts w:hint="eastAsia" w:ascii="宋体" w:hAnsi="宋体" w:eastAsia="宋体" w:cs="宋体"/>
          <w:color w:val="auto"/>
          <w:sz w:val="24"/>
          <w:szCs w:val="24"/>
          <w:highlight w:val="none"/>
          <w:lang w:eastAsia="zh-CN"/>
        </w:rPr>
        <w:t>2.</w:t>
      </w:r>
      <w:r>
        <w:rPr>
          <w:rFonts w:hint="eastAsia" w:ascii="宋体" w:hAnsi="宋体" w:eastAsia="宋体" w:cs="宋体"/>
          <w:b/>
          <w:bCs/>
          <w:color w:val="auto"/>
          <w:sz w:val="24"/>
          <w:szCs w:val="24"/>
          <w:highlight w:val="none"/>
        </w:rPr>
        <w:t>主要人员简历表</w:t>
      </w:r>
      <w:bookmarkEnd w:id="383"/>
      <w:bookmarkEnd w:id="384"/>
      <w:bookmarkEnd w:id="385"/>
      <w:bookmarkEnd w:id="386"/>
    </w:p>
    <w:p>
      <w:pPr>
        <w:spacing w:line="360" w:lineRule="auto"/>
        <w:rPr>
          <w:rFonts w:hint="eastAsia" w:ascii="宋体" w:hAnsi="宋体" w:eastAsia="宋体" w:cs="宋体"/>
          <w:color w:val="auto"/>
          <w:sz w:val="24"/>
          <w:szCs w:val="24"/>
          <w:highlight w:val="none"/>
          <w:lang w:eastAsia="zh-CN"/>
        </w:rPr>
      </w:pPr>
      <w:bookmarkStart w:id="387" w:name="_Toc8395_WPSOffice_Level2"/>
      <w:bookmarkStart w:id="388" w:name="_Toc15583_WPSOffice_Level2"/>
      <w:r>
        <w:rPr>
          <w:rFonts w:hint="eastAsia" w:ascii="宋体" w:hAnsi="宋体" w:eastAsia="宋体" w:cs="宋体"/>
          <w:color w:val="auto"/>
          <w:sz w:val="24"/>
          <w:szCs w:val="24"/>
          <w:highlight w:val="none"/>
          <w:lang w:eastAsia="zh-CN"/>
        </w:rPr>
        <w:t>附1：项目经理简历表</w:t>
      </w:r>
      <w:bookmarkEnd w:id="387"/>
      <w:bookmarkEnd w:id="388"/>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应附资格证书、安全生产考核合格证书、身份证、职称证（如有）、社保证明复印件及未担任其他在施建设工程项目经理的承诺书，管理过的项目业绩须附合同协议书。类似项目限于以项目经理身份参与的项目。</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拟在本工程任职</w:t>
            </w:r>
          </w:p>
        </w:tc>
        <w:tc>
          <w:tcPr>
            <w:tcW w:w="212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执业</w:t>
            </w:r>
            <w:r>
              <w:rPr>
                <w:rFonts w:hint="eastAsia" w:ascii="宋体" w:hAnsi="宋体" w:eastAsia="宋体" w:cs="宋体"/>
                <w:color w:val="auto"/>
                <w:sz w:val="24"/>
                <w:szCs w:val="24"/>
                <w:highlight w:val="none"/>
              </w:rPr>
              <w:t>资格等级</w:t>
            </w:r>
          </w:p>
        </w:tc>
        <w:tc>
          <w:tcPr>
            <w:tcW w:w="127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184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安全生产考核合格证书</w:t>
            </w:r>
          </w:p>
        </w:tc>
        <w:tc>
          <w:tcPr>
            <w:tcW w:w="5244" w:type="dxa"/>
            <w:gridSpan w:val="3"/>
            <w:vAlign w:val="center"/>
          </w:tcPr>
          <w:p>
            <w:pPr>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413" w:type="dxa"/>
            <w:gridSpan w:val="5"/>
            <w:vAlign w:val="center"/>
          </w:tcPr>
          <w:p>
            <w:pPr>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学校</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444" w:type="dxa"/>
            <w:gridSpan w:val="3"/>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参加过的类似项目名称</w:t>
            </w:r>
          </w:p>
        </w:tc>
        <w:tc>
          <w:tcPr>
            <w:tcW w:w="184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12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color w:val="auto"/>
                <w:sz w:val="24"/>
                <w:szCs w:val="24"/>
                <w:highlight w:val="none"/>
              </w:rPr>
            </w:pPr>
          </w:p>
        </w:tc>
        <w:tc>
          <w:tcPr>
            <w:tcW w:w="1035" w:type="dxa"/>
            <w:vAlign w:val="center"/>
          </w:tcPr>
          <w:p>
            <w:pPr>
              <w:jc w:val="center"/>
              <w:rPr>
                <w:rFonts w:hint="eastAsia" w:ascii="宋体" w:hAnsi="宋体" w:eastAsia="宋体" w:cs="宋体"/>
                <w:color w:val="auto"/>
                <w:sz w:val="24"/>
                <w:szCs w:val="24"/>
                <w:highlight w:val="none"/>
              </w:rPr>
            </w:pPr>
          </w:p>
        </w:tc>
        <w:tc>
          <w:tcPr>
            <w:tcW w:w="1134" w:type="dxa"/>
            <w:vAlign w:val="center"/>
          </w:tcPr>
          <w:p>
            <w:pPr>
              <w:jc w:val="center"/>
              <w:rPr>
                <w:rFonts w:hint="eastAsia" w:ascii="宋体" w:hAnsi="宋体" w:eastAsia="宋体" w:cs="宋体"/>
                <w:color w:val="auto"/>
                <w:sz w:val="24"/>
                <w:szCs w:val="24"/>
                <w:highlight w:val="none"/>
              </w:rPr>
            </w:pPr>
          </w:p>
        </w:tc>
        <w:tc>
          <w:tcPr>
            <w:tcW w:w="1275" w:type="dxa"/>
            <w:vAlign w:val="center"/>
          </w:tcPr>
          <w:p>
            <w:pPr>
              <w:jc w:val="center"/>
              <w:rPr>
                <w:rFonts w:hint="eastAsia" w:ascii="宋体" w:hAnsi="宋体" w:eastAsia="宋体" w:cs="宋体"/>
                <w:color w:val="auto"/>
                <w:sz w:val="24"/>
                <w:szCs w:val="24"/>
                <w:highlight w:val="none"/>
              </w:rPr>
            </w:pPr>
          </w:p>
        </w:tc>
        <w:tc>
          <w:tcPr>
            <w:tcW w:w="1843" w:type="dxa"/>
            <w:vAlign w:val="center"/>
          </w:tcPr>
          <w:p>
            <w:pPr>
              <w:jc w:val="center"/>
              <w:rPr>
                <w:rFonts w:hint="eastAsia" w:ascii="宋体" w:hAnsi="宋体" w:eastAsia="宋体" w:cs="宋体"/>
                <w:color w:val="auto"/>
                <w:sz w:val="24"/>
                <w:szCs w:val="24"/>
                <w:highlight w:val="none"/>
              </w:rPr>
            </w:pPr>
          </w:p>
        </w:tc>
        <w:tc>
          <w:tcPr>
            <w:tcW w:w="2126" w:type="dxa"/>
            <w:vAlign w:val="center"/>
          </w:tcPr>
          <w:p>
            <w:pPr>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bookmarkStart w:id="389" w:name="_Toc6416242"/>
      <w:bookmarkStart w:id="390" w:name="_Toc18271"/>
      <w:bookmarkStart w:id="391" w:name="_Toc461_WPSOffice_Level2"/>
      <w:bookmarkStart w:id="392" w:name="_Toc51688352"/>
      <w:bookmarkStart w:id="393" w:name="_Toc28931"/>
      <w:bookmarkStart w:id="394" w:name="_Toc13371_WPSOffice_Level2"/>
      <w:bookmarkStart w:id="395" w:name="_Toc25552_WPSOffice_Level2"/>
      <w:bookmarkStart w:id="396" w:name="_Toc13"/>
      <w:bookmarkStart w:id="397" w:name="_Toc24501_WPSOffice_Level2"/>
      <w:bookmarkStart w:id="398" w:name="_Toc32009"/>
      <w:r>
        <w:rPr>
          <w:rFonts w:hint="eastAsia" w:ascii="宋体" w:hAnsi="宋体" w:eastAsia="宋体" w:cs="宋体"/>
          <w:color w:val="auto"/>
          <w:sz w:val="24"/>
          <w:szCs w:val="24"/>
          <w:highlight w:val="none"/>
          <w:lang w:eastAsia="zh-CN"/>
        </w:rPr>
        <w:t>附2：主要项目管理人员简历表</w:t>
      </w:r>
      <w:bookmarkEnd w:id="389"/>
      <w:bookmarkEnd w:id="390"/>
      <w:bookmarkEnd w:id="391"/>
      <w:bookmarkEnd w:id="392"/>
      <w:bookmarkEnd w:id="393"/>
      <w:bookmarkEnd w:id="394"/>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应附</w:t>
      </w:r>
      <w:r>
        <w:rPr>
          <w:rFonts w:hint="eastAsia" w:ascii="宋体" w:hAnsi="宋体" w:eastAsia="宋体" w:cs="宋体"/>
          <w:color w:val="auto"/>
          <w:sz w:val="24"/>
          <w:szCs w:val="24"/>
          <w:highlight w:val="none"/>
          <w:lang w:val="en-US" w:eastAsia="zh-CN"/>
        </w:rPr>
        <w:t>执业资格证书或岗位证、</w:t>
      </w:r>
      <w:r>
        <w:rPr>
          <w:rFonts w:hint="eastAsia" w:ascii="宋体" w:hAnsi="宋体" w:eastAsia="宋体" w:cs="宋体"/>
          <w:color w:val="auto"/>
          <w:sz w:val="24"/>
          <w:szCs w:val="24"/>
          <w:highlight w:val="none"/>
          <w:lang w:eastAsia="zh-CN"/>
        </w:rPr>
        <w:t>身份证、职称证（如有）、社保证明复印件、业绩（如有）相关资料的扫描件或复印件</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2"/>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00" w:type="pct"/>
            <w:gridSpan w:val="2"/>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58"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    名    </w:t>
            </w:r>
          </w:p>
        </w:tc>
        <w:tc>
          <w:tcPr>
            <w:tcW w:w="2441"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58"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性    别  </w:t>
            </w:r>
          </w:p>
        </w:tc>
        <w:tc>
          <w:tcPr>
            <w:tcW w:w="2441"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58"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学历和专业  </w:t>
            </w:r>
          </w:p>
        </w:tc>
        <w:tc>
          <w:tcPr>
            <w:tcW w:w="2441"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58"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拥有的执业资格  </w:t>
            </w:r>
          </w:p>
        </w:tc>
        <w:tc>
          <w:tcPr>
            <w:tcW w:w="2441"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58"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441" w:type="pct"/>
          </w:tcPr>
          <w:p>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jc w:val="center"/>
        </w:trPr>
        <w:tc>
          <w:tcPr>
            <w:tcW w:w="5000" w:type="pct"/>
            <w:gridSpan w:val="2"/>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主要工作业绩及担任的主要工作</w:t>
            </w:r>
          </w:p>
          <w:p>
            <w:pPr>
              <w:spacing w:line="640" w:lineRule="exact"/>
              <w:rPr>
                <w:rFonts w:hint="eastAsia" w:ascii="宋体" w:hAnsi="宋体" w:eastAsia="宋体" w:cs="宋体"/>
                <w:color w:val="auto"/>
                <w:sz w:val="24"/>
                <w:szCs w:val="24"/>
                <w:highlight w:val="none"/>
                <w:lang w:eastAsia="zh-CN"/>
              </w:rPr>
            </w:pPr>
          </w:p>
        </w:tc>
      </w:tr>
    </w:tbl>
    <w:p>
      <w:pPr>
        <w:spacing w:line="640" w:lineRule="exact"/>
        <w:rPr>
          <w:rFonts w:hint="eastAsia" w:ascii="宋体" w:hAnsi="宋体" w:eastAsia="宋体" w:cs="宋体"/>
          <w:color w:val="auto"/>
          <w:sz w:val="24"/>
          <w:szCs w:val="24"/>
          <w:highlight w:val="none"/>
          <w:lang w:eastAsia="zh-CN"/>
        </w:rPr>
        <w:sectPr>
          <w:pgSz w:w="11907" w:h="16840"/>
          <w:pgMar w:top="1500" w:right="1720" w:bottom="1120" w:left="1720" w:header="0" w:footer="921" w:gutter="0"/>
          <w:pgNumType w:fmt="decimal"/>
          <w:cols w:space="720" w:num="1"/>
        </w:sectPr>
      </w:pPr>
    </w:p>
    <w:p>
      <w:pPr>
        <w:spacing w:line="6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附3：项目经理无在建承诺书</w:t>
      </w:r>
      <w:bookmarkEnd w:id="395"/>
      <w:bookmarkEnd w:id="396"/>
      <w:bookmarkEnd w:id="397"/>
      <w:bookmarkEnd w:id="398"/>
    </w:p>
    <w:p>
      <w:pPr>
        <w:spacing w:before="240" w:beforeLines="100" w:after="240" w:afterLine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项目经理无在建承诺书</w:t>
      </w:r>
    </w:p>
    <w:p>
      <w:pPr>
        <w:spacing w:after="240" w:afterLines="10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招标人名称：</w:t>
      </w:r>
      <w:r>
        <w:rPr>
          <w:rFonts w:hint="eastAsia" w:ascii="宋体" w:hAnsi="宋体" w:eastAsia="宋体" w:cs="宋体"/>
          <w:color w:val="auto"/>
          <w:sz w:val="24"/>
          <w:szCs w:val="24"/>
          <w:highlight w:val="none"/>
          <w:u w:val="single"/>
          <w:lang w:eastAsia="zh-CN"/>
        </w:rPr>
        <w:t xml:space="preserve">                       </w:t>
      </w:r>
    </w:p>
    <w:p>
      <w:pPr>
        <w:spacing w:line="44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我方在此声明，我方拟派往</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（项目名称）（以下简称“本工程”）的项目经理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（项目经理姓名）现阶段没有担任任何正在施工和正在承接工程项目的项目经理。</w:t>
      </w:r>
    </w:p>
    <w:p>
      <w:pPr>
        <w:spacing w:line="44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我方保证上述信息的真实和准确，并愿意承担因我方就此弄虚作假所引起的一切法律后果。</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p>
    <w:p>
      <w:pPr>
        <w:autoSpaceDE w:val="0"/>
        <w:autoSpaceDN w:val="0"/>
        <w:adjustRightInd w:val="0"/>
        <w:spacing w:line="480" w:lineRule="auto"/>
        <w:ind w:firstLine="720" w:firstLineChars="3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投标人（单位名称）：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（盖章）</w:t>
      </w:r>
    </w:p>
    <w:p>
      <w:pPr>
        <w:autoSpaceDE w:val="0"/>
        <w:autoSpaceDN w:val="0"/>
        <w:adjustRightInd w:val="0"/>
        <w:spacing w:line="480" w:lineRule="auto"/>
        <w:ind w:firstLine="720" w:firstLineChars="3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法定代表人或其委托代理人：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spacing w:line="480" w:lineRule="auto"/>
        <w:jc w:val="right"/>
        <w:rPr>
          <w:rFonts w:hint="eastAsia" w:ascii="宋体" w:hAnsi="宋体" w:eastAsia="宋体" w:cs="宋体"/>
          <w:color w:val="auto"/>
          <w:sz w:val="24"/>
          <w:szCs w:val="24"/>
          <w:highlight w:val="none"/>
          <w:lang w:eastAsia="zh-CN"/>
        </w:rPr>
        <w:sectPr>
          <w:pgSz w:w="11907" w:h="16840"/>
          <w:pgMar w:top="1500" w:right="1720" w:bottom="1120" w:left="1720" w:header="0" w:footer="921" w:gutter="0"/>
          <w:pgNumType w:fmt="decimal"/>
          <w:cols w:space="720" w:num="1"/>
        </w:sect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bidi w:val="0"/>
        <w:rPr>
          <w:rFonts w:hint="eastAsia" w:ascii="宋体" w:hAnsi="宋体" w:eastAsia="宋体" w:cs="宋体"/>
          <w:color w:val="auto"/>
          <w:sz w:val="24"/>
          <w:szCs w:val="24"/>
          <w:highlight w:val="none"/>
          <w:lang w:eastAsia="zh-CN"/>
        </w:rPr>
      </w:pPr>
      <w:bookmarkStart w:id="399" w:name="_Toc22225"/>
      <w:r>
        <w:rPr>
          <w:rFonts w:hint="eastAsia" w:ascii="宋体" w:hAnsi="宋体" w:eastAsia="宋体" w:cs="宋体"/>
          <w:color w:val="auto"/>
          <w:sz w:val="24"/>
          <w:szCs w:val="24"/>
          <w:highlight w:val="none"/>
          <w:lang w:eastAsia="zh-CN"/>
        </w:rPr>
        <w:t>（四）</w:t>
      </w:r>
      <w:bookmarkStart w:id="400" w:name="_Toc309740205"/>
      <w:bookmarkEnd w:id="400"/>
      <w:bookmarkStart w:id="401" w:name="_Toc479969469"/>
      <w:bookmarkStart w:id="402" w:name="_Toc487127476"/>
      <w:bookmarkStart w:id="403" w:name="_Toc479969322"/>
      <w:bookmarkStart w:id="404" w:name="_Toc480213829"/>
      <w:bookmarkStart w:id="405" w:name="_Toc152045810"/>
      <w:bookmarkStart w:id="406" w:name="_Toc144974878"/>
      <w:bookmarkStart w:id="407" w:name="_Toc341280463"/>
      <w:bookmarkStart w:id="408" w:name="_Toc152042599"/>
      <w:bookmarkStart w:id="409" w:name="_Toc179632830"/>
      <w:bookmarkStart w:id="410" w:name="_Toc456354388"/>
      <w:r>
        <w:rPr>
          <w:rFonts w:hint="eastAsia" w:ascii="宋体" w:hAnsi="宋体" w:eastAsia="宋体" w:cs="宋体"/>
          <w:color w:val="auto"/>
          <w:sz w:val="24"/>
          <w:szCs w:val="24"/>
          <w:highlight w:val="none"/>
          <w:lang w:eastAsia="zh-CN"/>
        </w:rPr>
        <w:t>近年企业完成的类似项目业绩情况表</w:t>
      </w:r>
      <w:bookmarkEnd w:id="399"/>
      <w:bookmarkEnd w:id="401"/>
      <w:bookmarkEnd w:id="402"/>
      <w:bookmarkEnd w:id="403"/>
      <w:bookmarkEnd w:id="404"/>
      <w:bookmarkEnd w:id="405"/>
      <w:bookmarkEnd w:id="406"/>
      <w:bookmarkEnd w:id="407"/>
      <w:bookmarkEnd w:id="408"/>
      <w:bookmarkEnd w:id="409"/>
      <w:bookmarkEnd w:id="410"/>
    </w:p>
    <w:tbl>
      <w:tblPr>
        <w:tblStyle w:val="3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w:t>
            </w:r>
            <w:r>
              <w:rPr>
                <w:rFonts w:hint="eastAsia" w:ascii="宋体" w:hAnsi="宋体" w:eastAsia="宋体" w:cs="宋体"/>
                <w:color w:val="auto"/>
                <w:sz w:val="24"/>
                <w:szCs w:val="24"/>
                <w:highlight w:val="none"/>
              </w:rPr>
              <w:t>日期</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033"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033" w:type="dxa"/>
          </w:tcPr>
          <w:p>
            <w:pPr>
              <w:topLinePunct/>
              <w:spacing w:line="440" w:lineRule="exact"/>
              <w:rPr>
                <w:rFonts w:hint="eastAsia" w:ascii="宋体" w:hAnsi="宋体" w:eastAsia="宋体" w:cs="宋体"/>
                <w:color w:val="auto"/>
                <w:sz w:val="24"/>
                <w:szCs w:val="24"/>
                <w:highlight w:val="none"/>
              </w:rPr>
            </w:pPr>
          </w:p>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89"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033" w:type="dxa"/>
          </w:tcPr>
          <w:p>
            <w:pPr>
              <w:topLinePunct/>
              <w:spacing w:line="440" w:lineRule="exact"/>
              <w:rPr>
                <w:rFonts w:hint="eastAsia" w:ascii="宋体" w:hAnsi="宋体" w:eastAsia="宋体" w:cs="宋体"/>
                <w:color w:val="auto"/>
                <w:sz w:val="24"/>
                <w:szCs w:val="24"/>
                <w:highlight w:val="none"/>
              </w:rPr>
            </w:pPr>
          </w:p>
        </w:tc>
      </w:tr>
    </w:tbl>
    <w:p>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备注：1、本表后附</w:t>
      </w:r>
      <w:r>
        <w:rPr>
          <w:rFonts w:hint="eastAsia" w:ascii="宋体" w:hAnsi="宋体" w:eastAsia="宋体" w:cs="宋体"/>
          <w:bCs/>
          <w:color w:val="auto"/>
          <w:sz w:val="24"/>
          <w:szCs w:val="24"/>
          <w:highlight w:val="none"/>
          <w:lang w:eastAsia="zh-CN"/>
        </w:rPr>
        <w:t>合同复印件</w:t>
      </w:r>
      <w:r>
        <w:rPr>
          <w:rFonts w:hint="eastAsia" w:ascii="宋体" w:hAnsi="宋体" w:eastAsia="宋体" w:cs="宋体"/>
          <w:color w:val="auto"/>
          <w:sz w:val="24"/>
          <w:szCs w:val="24"/>
          <w:highlight w:val="none"/>
          <w:lang w:eastAsia="zh-CN"/>
        </w:rPr>
        <w:t>。具体年份要求见投标须知前附表，每张表格只填一个项目，并标明序号。</w:t>
      </w:r>
    </w:p>
    <w:p>
      <w:pPr>
        <w:rPr>
          <w:rFonts w:hint="eastAsia" w:ascii="宋体" w:hAnsi="宋体" w:eastAsia="宋体" w:cs="宋体"/>
          <w:color w:val="auto"/>
          <w:sz w:val="24"/>
          <w:szCs w:val="24"/>
          <w:highlight w:val="none"/>
          <w:lang w:eastAsia="zh-CN"/>
        </w:rPr>
      </w:pPr>
      <w:bookmarkStart w:id="411" w:name="_Toc5530"/>
      <w:r>
        <w:rPr>
          <w:rFonts w:hint="eastAsia" w:ascii="宋体" w:hAnsi="宋体" w:eastAsia="宋体" w:cs="宋体"/>
          <w:color w:val="auto"/>
          <w:sz w:val="24"/>
          <w:szCs w:val="24"/>
          <w:highlight w:val="none"/>
          <w:lang w:eastAsia="zh-CN"/>
        </w:rPr>
        <w:br w:type="page"/>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）项目经理的类似项目业绩情况表</w:t>
      </w:r>
      <w:bookmarkEnd w:id="411"/>
    </w:p>
    <w:tbl>
      <w:tblPr>
        <w:tblStyle w:val="3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w:t>
            </w:r>
            <w:r>
              <w:rPr>
                <w:rFonts w:hint="eastAsia" w:ascii="宋体" w:hAnsi="宋体" w:eastAsia="宋体" w:cs="宋体"/>
                <w:color w:val="auto"/>
                <w:sz w:val="24"/>
                <w:szCs w:val="24"/>
                <w:highlight w:val="none"/>
              </w:rPr>
              <w:t>日期</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792" w:type="dxa"/>
          </w:tcPr>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792" w:type="dxa"/>
          </w:tcPr>
          <w:p>
            <w:pPr>
              <w:topLinePunct/>
              <w:spacing w:line="440" w:lineRule="exact"/>
              <w:rPr>
                <w:rFonts w:hint="eastAsia" w:ascii="宋体" w:hAnsi="宋体" w:eastAsia="宋体" w:cs="宋体"/>
                <w:color w:val="auto"/>
                <w:sz w:val="24"/>
                <w:szCs w:val="24"/>
                <w:highlight w:val="none"/>
              </w:rPr>
            </w:pPr>
          </w:p>
          <w:p>
            <w:pPr>
              <w:topLinePunct/>
              <w:spacing w:line="440" w:lineRule="exact"/>
              <w:rPr>
                <w:rFonts w:hint="eastAsia" w:ascii="宋体" w:hAnsi="宋体" w:eastAsia="宋体" w:cs="宋体"/>
                <w:color w:val="auto"/>
                <w:sz w:val="24"/>
                <w:szCs w:val="24"/>
                <w:highlight w:val="none"/>
              </w:rPr>
            </w:pPr>
          </w:p>
          <w:p>
            <w:pPr>
              <w:topLinePunct/>
              <w:spacing w:line="440" w:lineRule="exact"/>
              <w:rPr>
                <w:rFonts w:hint="eastAsia" w:ascii="宋体" w:hAnsi="宋体" w:eastAsia="宋体" w:cs="宋体"/>
                <w:color w:val="auto"/>
                <w:sz w:val="24"/>
                <w:szCs w:val="24"/>
                <w:highlight w:val="none"/>
              </w:rPr>
            </w:pPr>
          </w:p>
          <w:p>
            <w:pPr>
              <w:topLinePunct/>
              <w:spacing w:line="440" w:lineRule="exact"/>
              <w:rPr>
                <w:rFonts w:hint="eastAsia" w:ascii="宋体" w:hAnsi="宋体" w:eastAsia="宋体" w:cs="宋体"/>
                <w:color w:val="auto"/>
                <w:sz w:val="24"/>
                <w:szCs w:val="24"/>
                <w:highlight w:val="none"/>
              </w:rPr>
            </w:pPr>
          </w:p>
          <w:p>
            <w:pPr>
              <w:topLinePunct/>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8" w:type="dxa"/>
            <w:vAlign w:val="center"/>
          </w:tcPr>
          <w:p>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92" w:type="dxa"/>
          </w:tcPr>
          <w:p>
            <w:pPr>
              <w:topLinePunct/>
              <w:spacing w:line="440" w:lineRule="exact"/>
              <w:rPr>
                <w:rFonts w:hint="eastAsia" w:ascii="宋体" w:hAnsi="宋体" w:eastAsia="宋体" w:cs="宋体"/>
                <w:color w:val="auto"/>
                <w:sz w:val="24"/>
                <w:szCs w:val="24"/>
                <w:highlight w:val="none"/>
              </w:rPr>
            </w:pPr>
          </w:p>
        </w:tc>
      </w:tr>
    </w:tbl>
    <w:p>
      <w:pPr>
        <w:spacing w:line="400" w:lineRule="exact"/>
        <w:jc w:val="both"/>
        <w:rPr>
          <w:rFonts w:hint="eastAsia" w:ascii="宋体" w:hAnsi="宋体" w:eastAsia="宋体" w:cs="宋体"/>
          <w:b/>
          <w:color w:val="auto"/>
          <w:sz w:val="24"/>
          <w:szCs w:val="24"/>
          <w:highlight w:val="none"/>
          <w:u w:val="single"/>
          <w:shd w:val="pct10" w:color="auto" w:fill="FFFFFF"/>
          <w:lang w:eastAsia="zh-CN"/>
        </w:rPr>
      </w:pPr>
      <w:r>
        <w:rPr>
          <w:rFonts w:hint="eastAsia" w:ascii="宋体" w:hAnsi="宋体" w:eastAsia="宋体" w:cs="宋体"/>
          <w:color w:val="auto"/>
          <w:sz w:val="24"/>
          <w:szCs w:val="24"/>
          <w:highlight w:val="none"/>
          <w:lang w:eastAsia="zh-CN"/>
        </w:rPr>
        <w:t>备注：本表后应附合同协议书或证明文件复印件，每张表格只填一个项目，并标明序号。</w:t>
      </w: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bidi w:val="0"/>
        <w:rPr>
          <w:rFonts w:hint="eastAsia" w:ascii="宋体" w:hAnsi="宋体" w:eastAsia="宋体" w:cs="宋体"/>
          <w:color w:val="auto"/>
          <w:sz w:val="24"/>
          <w:szCs w:val="24"/>
          <w:highlight w:val="none"/>
          <w:lang w:eastAsia="zh-CN"/>
        </w:rPr>
      </w:pPr>
      <w:bookmarkStart w:id="412" w:name="_Toc19667"/>
      <w:r>
        <w:rPr>
          <w:rFonts w:hint="eastAsia" w:ascii="宋体" w:hAnsi="宋体" w:eastAsia="宋体" w:cs="宋体"/>
          <w:color w:val="auto"/>
          <w:sz w:val="24"/>
          <w:szCs w:val="24"/>
          <w:highlight w:val="none"/>
          <w:lang w:eastAsia="zh-CN"/>
        </w:rPr>
        <w:t>（六）投标人承诺书</w:t>
      </w:r>
      <w:bookmarkEnd w:id="412"/>
    </w:p>
    <w:p>
      <w:pPr>
        <w:spacing w:after="240" w:afterLines="10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我方已仔细研究了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lang w:eastAsia="zh-CN"/>
        </w:rPr>
        <w:t>招标文件的全部内容，若我公司中标，愿意做出以下承诺：</w:t>
      </w:r>
    </w:p>
    <w:p>
      <w:pPr>
        <w:pStyle w:val="12"/>
        <w:tabs>
          <w:tab w:val="left" w:pos="482"/>
        </w:tabs>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1、针对本项目的特点和要求，结合自身的条件和潜力，为招标人排忧解难；承诺不因为资金因素而影响工程进度；</w:t>
      </w:r>
    </w:p>
    <w:p>
      <w:pPr>
        <w:pStyle w:val="12"/>
        <w:tabs>
          <w:tab w:val="left" w:pos="482"/>
        </w:tabs>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2、妥善处理本项目施工现场第三方关系，不因为本项目拖欠工程款（或分包工程款）、工人及农民工工资，且发生拖欠时同意招标人（发包人）无条件代付；</w:t>
      </w:r>
    </w:p>
    <w:p>
      <w:pPr>
        <w:pStyle w:val="12"/>
        <w:tabs>
          <w:tab w:val="left" w:pos="482"/>
        </w:tabs>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若因为欠款或施工组织不力等原因，引起工程进度达不到招标人（发包人）要求时，我方承诺同意招标人（发包人）代支付其欠款（包括但不限于工程款、分包工程款、材料款、设备款、工资等），若因为投标人管理不到位引起的工程进度或质量等达不到招标人（发包人）要求时，我方承诺同意招标人（发包人）直接管理或另行委托。</w:t>
      </w:r>
    </w:p>
    <w:p>
      <w:pPr>
        <w:pStyle w:val="12"/>
        <w:tabs>
          <w:tab w:val="left" w:pos="482"/>
        </w:tabs>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4、我方承诺中标后理解并无条件服从招标人（发包人）对界线划分的解释及调整，并接受由此产生的工程量及价格调整。</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pPr>
        <w:spacing w:line="440" w:lineRule="exact"/>
        <w:ind w:firstLine="480" w:firstLineChars="200"/>
        <w:rPr>
          <w:rFonts w:hint="eastAsia" w:ascii="宋体" w:hAnsi="宋体" w:eastAsia="宋体" w:cs="宋体"/>
          <w:color w:val="auto"/>
          <w:sz w:val="24"/>
          <w:szCs w:val="24"/>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p>
    <w:p>
      <w:pPr>
        <w:autoSpaceDE w:val="0"/>
        <w:autoSpaceDN w:val="0"/>
        <w:adjustRightInd w:val="0"/>
        <w:spacing w:line="480" w:lineRule="auto"/>
        <w:ind w:firstLine="720" w:firstLineChars="3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投标人（单位名称）：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（盖章）</w:t>
      </w:r>
    </w:p>
    <w:p>
      <w:pPr>
        <w:autoSpaceDE w:val="0"/>
        <w:autoSpaceDN w:val="0"/>
        <w:adjustRightInd w:val="0"/>
        <w:spacing w:line="480" w:lineRule="auto"/>
        <w:ind w:firstLine="720" w:firstLineChars="3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法定代表人或其委托代理人：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spacing w:line="48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pStyle w:val="2"/>
        <w:rPr>
          <w:rFonts w:hint="eastAsia" w:ascii="宋体" w:hAnsi="宋体" w:eastAsia="宋体" w:cs="宋体"/>
          <w:color w:val="auto"/>
          <w:sz w:val="24"/>
          <w:szCs w:val="24"/>
          <w:highlight w:val="none"/>
          <w:lang w:eastAsia="zh-CN"/>
        </w:rPr>
        <w:sectPr>
          <w:pgSz w:w="11907" w:h="16840"/>
          <w:pgMar w:top="1500" w:right="1720" w:bottom="1120" w:left="1720" w:header="0" w:footer="921" w:gutter="0"/>
          <w:pgNumType w:fmt="decimal"/>
          <w:cols w:space="720" w:num="1"/>
        </w:sectPr>
      </w:pPr>
    </w:p>
    <w:p>
      <w:pPr>
        <w:bidi w:val="0"/>
        <w:rPr>
          <w:rFonts w:hint="eastAsia" w:ascii="宋体" w:hAnsi="宋体" w:eastAsia="宋体" w:cs="宋体"/>
          <w:color w:val="auto"/>
          <w:sz w:val="24"/>
          <w:szCs w:val="24"/>
          <w:highlight w:val="none"/>
          <w:lang w:eastAsia="zh-CN"/>
        </w:rPr>
      </w:pPr>
      <w:bookmarkStart w:id="413" w:name="_Toc28498_WPSOffice_Level1"/>
      <w:bookmarkStart w:id="414" w:name="_Toc6692"/>
      <w:bookmarkStart w:id="415" w:name="_Toc7415"/>
      <w:bookmarkStart w:id="416" w:name="_Toc32660_WPSOffice_Level1"/>
      <w:bookmarkStart w:id="417" w:name="_Toc27298"/>
      <w:bookmarkStart w:id="418" w:name="_Toc17307"/>
      <w:r>
        <w:rPr>
          <w:rFonts w:hint="eastAsia" w:ascii="宋体" w:hAnsi="宋体" w:eastAsia="宋体" w:cs="宋体"/>
          <w:color w:val="auto"/>
          <w:sz w:val="24"/>
          <w:szCs w:val="24"/>
          <w:highlight w:val="none"/>
          <w:lang w:eastAsia="zh-CN"/>
        </w:rPr>
        <w:t>（七）其他材料</w:t>
      </w:r>
      <w:bookmarkEnd w:id="413"/>
      <w:bookmarkEnd w:id="414"/>
      <w:bookmarkEnd w:id="415"/>
      <w:bookmarkEnd w:id="416"/>
      <w:bookmarkEnd w:id="417"/>
      <w:bookmarkEnd w:id="418"/>
    </w:p>
    <w:p>
      <w:pPr>
        <w:pStyle w:val="1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投标人认为有必要</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的其它材料。</w:t>
      </w:r>
    </w:p>
    <w:p>
      <w:pPr>
        <w:tabs>
          <w:tab w:val="right" w:pos="8467"/>
        </w:tabs>
        <w:rPr>
          <w:rFonts w:hint="eastAsia" w:ascii="宋体" w:hAnsi="宋体" w:eastAsia="宋体" w:cs="宋体"/>
          <w:color w:val="auto"/>
          <w:sz w:val="24"/>
          <w:szCs w:val="24"/>
          <w:highlight w:val="none"/>
          <w:lang w:eastAsia="zh-CN"/>
        </w:rPr>
        <w:sectPr>
          <w:pgSz w:w="11907" w:h="16840"/>
          <w:pgMar w:top="1500" w:right="1720" w:bottom="1120" w:left="1720" w:header="0" w:footer="921" w:gutter="0"/>
          <w:pgNumType w:fmt="decimal"/>
          <w:cols w:space="720" w:num="1"/>
        </w:sectPr>
      </w:pPr>
    </w:p>
    <w:p>
      <w:pPr>
        <w:spacing w:line="360" w:lineRule="auto"/>
        <w:jc w:val="center"/>
        <w:outlineLvl w:val="1"/>
        <w:rPr>
          <w:rFonts w:hint="eastAsia" w:ascii="宋体" w:hAnsi="宋体" w:eastAsia="宋体" w:cs="宋体"/>
          <w:b/>
          <w:color w:val="auto"/>
          <w:sz w:val="24"/>
          <w:szCs w:val="24"/>
          <w:highlight w:val="none"/>
          <w:lang w:eastAsia="zh-CN"/>
        </w:rPr>
      </w:pPr>
      <w:bookmarkStart w:id="419" w:name="_Toc18466"/>
      <w:bookmarkStart w:id="420" w:name="_Toc25689"/>
      <w:r>
        <w:rPr>
          <w:rFonts w:hint="eastAsia" w:ascii="宋体" w:hAnsi="宋体" w:eastAsia="宋体" w:cs="宋体"/>
          <w:b/>
          <w:bCs/>
          <w:color w:val="auto"/>
          <w:sz w:val="24"/>
          <w:szCs w:val="24"/>
          <w:highlight w:val="none"/>
          <w:lang w:eastAsia="zh-CN"/>
        </w:rPr>
        <w:t>六、商务技术差异表</w:t>
      </w:r>
      <w:bookmarkEnd w:id="419"/>
      <w:bookmarkEnd w:id="420"/>
    </w:p>
    <w:p>
      <w:pPr>
        <w:tabs>
          <w:tab w:val="left" w:pos="630"/>
        </w:tabs>
        <w:spacing w:line="360" w:lineRule="auto"/>
        <w:ind w:firstLine="482" w:firstLineChars="200"/>
        <w:rPr>
          <w:rFonts w:hint="eastAsia" w:ascii="宋体" w:hAnsi="宋体" w:eastAsia="宋体" w:cs="宋体"/>
          <w:b/>
          <w:color w:val="auto"/>
          <w:sz w:val="24"/>
          <w:szCs w:val="24"/>
          <w:highlight w:val="none"/>
          <w:lang w:eastAsia="zh-CN"/>
        </w:rPr>
      </w:pPr>
    </w:p>
    <w:p>
      <w:pPr>
        <w:tabs>
          <w:tab w:val="left" w:pos="630"/>
        </w:tabs>
        <w:spacing w:line="360" w:lineRule="auto"/>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投标人要将响应文件和采购文件的差异之处汇集成表。</w:t>
      </w:r>
    </w:p>
    <w:tbl>
      <w:tblPr>
        <w:tblStyle w:val="35"/>
        <w:tblW w:w="0" w:type="auto"/>
        <w:tblInd w:w="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14"/>
        <w:gridCol w:w="1461"/>
        <w:gridCol w:w="2607"/>
        <w:gridCol w:w="1451"/>
        <w:gridCol w:w="1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1114" w:type="dxa"/>
            <w:vMerge w:val="restart"/>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068" w:type="dxa"/>
            <w:gridSpan w:val="2"/>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tc>
        <w:tc>
          <w:tcPr>
            <w:tcW w:w="3233" w:type="dxa"/>
            <w:gridSpan w:val="2"/>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1114" w:type="dxa"/>
            <w:vMerge w:val="continue"/>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p>
        </w:tc>
        <w:tc>
          <w:tcPr>
            <w:tcW w:w="1461" w:type="dxa"/>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2607" w:type="dxa"/>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简要内容</w:t>
            </w:r>
          </w:p>
        </w:tc>
        <w:tc>
          <w:tcPr>
            <w:tcW w:w="1451" w:type="dxa"/>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1782" w:type="dxa"/>
            <w:tcBorders>
              <w:top w:val="single" w:color="000000" w:sz="8" w:space="0"/>
              <w:left w:val="single" w:color="000000" w:sz="8" w:space="0"/>
              <w:bottom w:val="single" w:color="000000" w:sz="8" w:space="0"/>
              <w:right w:val="single" w:color="000000" w:sz="8" w:space="0"/>
            </w:tcBorders>
            <w:vAlign w:val="center"/>
          </w:tcPr>
          <w:p>
            <w:pPr>
              <w:tabs>
                <w:tab w:val="left" w:pos="63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114"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6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2607"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5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782"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114"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6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2607"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5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782"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114"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6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2607"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5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782"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114"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6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2607"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451"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c>
          <w:tcPr>
            <w:tcW w:w="1782" w:type="dxa"/>
            <w:tcBorders>
              <w:top w:val="single" w:color="000000" w:sz="8" w:space="0"/>
              <w:left w:val="single" w:color="000000" w:sz="8" w:space="0"/>
              <w:bottom w:val="single" w:color="000000" w:sz="8" w:space="0"/>
              <w:right w:val="single" w:color="000000" w:sz="8" w:space="0"/>
            </w:tcBorders>
          </w:tcPr>
          <w:p>
            <w:pPr>
              <w:tabs>
                <w:tab w:val="left" w:pos="630"/>
              </w:tabs>
              <w:spacing w:line="360" w:lineRule="exact"/>
              <w:rPr>
                <w:rFonts w:hint="eastAsia" w:ascii="宋体" w:hAnsi="宋体" w:eastAsia="宋体" w:cs="宋体"/>
                <w:color w:val="auto"/>
                <w:sz w:val="24"/>
                <w:szCs w:val="24"/>
                <w:highlight w:val="none"/>
              </w:rPr>
            </w:pPr>
          </w:p>
        </w:tc>
      </w:tr>
    </w:tbl>
    <w:p>
      <w:pPr>
        <w:keepNext/>
        <w:tabs>
          <w:tab w:val="left" w:pos="600"/>
        </w:tabs>
        <w:adjustRightInd w:val="0"/>
        <w:spacing w:line="360" w:lineRule="auto"/>
        <w:jc w:val="center"/>
        <w:textAlignment w:val="baseline"/>
        <w:rPr>
          <w:rFonts w:hint="eastAsia" w:ascii="宋体" w:hAnsi="宋体" w:eastAsia="宋体" w:cs="宋体"/>
          <w:b/>
          <w:bCs/>
          <w:color w:val="auto"/>
          <w:kern w:val="2"/>
          <w:sz w:val="24"/>
          <w:szCs w:val="24"/>
          <w:highlight w:val="none"/>
          <w:lang w:eastAsia="zh-CN"/>
        </w:rPr>
      </w:pPr>
    </w:p>
    <w:p>
      <w:pPr>
        <w:tabs>
          <w:tab w:val="left" w:pos="600"/>
        </w:tabs>
        <w:rPr>
          <w:rFonts w:hint="eastAsia" w:ascii="宋体" w:hAnsi="宋体" w:eastAsia="宋体" w:cs="宋体"/>
          <w:b/>
          <w:color w:val="auto"/>
          <w:sz w:val="24"/>
          <w:szCs w:val="24"/>
          <w:highlight w:val="none"/>
        </w:rPr>
        <w:sectPr>
          <w:headerReference r:id="rId10" w:type="default"/>
          <w:footerReference r:id="rId11" w:type="default"/>
          <w:pgSz w:w="12240" w:h="15840"/>
          <w:pgMar w:top="1502" w:right="1678" w:bottom="1123" w:left="1701" w:header="0" w:footer="918" w:gutter="0"/>
          <w:pgNumType w:fmt="decimal"/>
          <w:cols w:space="720" w:num="1"/>
          <w:docGrid w:linePitch="312" w:charSpace="0"/>
        </w:sectPr>
      </w:pPr>
    </w:p>
    <w:p>
      <w:pPr>
        <w:keepNext/>
        <w:tabs>
          <w:tab w:val="left" w:pos="600"/>
        </w:tabs>
        <w:adjustRightInd w:val="0"/>
        <w:spacing w:line="240" w:lineRule="auto"/>
        <w:jc w:val="center"/>
        <w:textAlignment w:val="baseline"/>
        <w:outlineLvl w:val="1"/>
        <w:rPr>
          <w:rFonts w:hint="eastAsia" w:ascii="宋体" w:hAnsi="宋体" w:eastAsia="宋体" w:cs="宋体"/>
          <w:b/>
          <w:color w:val="auto"/>
          <w:kern w:val="2"/>
          <w:sz w:val="24"/>
          <w:szCs w:val="24"/>
          <w:highlight w:val="none"/>
          <w:lang w:eastAsia="zh-CN"/>
        </w:rPr>
      </w:pPr>
      <w:bookmarkStart w:id="421" w:name="_Toc16900"/>
      <w:bookmarkStart w:id="422" w:name="_Toc9106"/>
      <w:bookmarkStart w:id="423" w:name="_Toc37688271"/>
      <w:r>
        <w:rPr>
          <w:rFonts w:hint="eastAsia" w:ascii="宋体" w:hAnsi="宋体" w:eastAsia="宋体" w:cs="宋体"/>
          <w:b/>
          <w:color w:val="auto"/>
          <w:kern w:val="2"/>
          <w:sz w:val="24"/>
          <w:szCs w:val="24"/>
          <w:highlight w:val="none"/>
          <w:lang w:eastAsia="zh-CN"/>
        </w:rPr>
        <w:t>七、已标价工程量清单</w:t>
      </w:r>
      <w:bookmarkEnd w:id="421"/>
      <w:bookmarkEnd w:id="422"/>
    </w:p>
    <w:bookmarkEnd w:id="423"/>
    <w:p>
      <w:pPr>
        <w:rPr>
          <w:rFonts w:hint="eastAsia" w:ascii="宋体" w:hAnsi="宋体" w:eastAsia="宋体" w:cs="宋体"/>
          <w:color w:val="auto"/>
          <w:sz w:val="24"/>
          <w:szCs w:val="24"/>
          <w:highlight w:val="none"/>
          <w:lang w:eastAsia="zh-CN"/>
        </w:rPr>
      </w:pPr>
    </w:p>
    <w:p>
      <w:pPr>
        <w:adjustRightInd w:val="0"/>
        <w:snapToGrid w:val="0"/>
        <w:spacing w:line="360" w:lineRule="auto"/>
        <w:ind w:firstLine="480" w:firstLineChars="20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清单中包含：投标总价封面、投标总价扉页、总说明、建设项目投标报价汇总表、单项工程投标报价汇总表、单位工程投标报价汇总表、分部分项工程和单价措施项目清单与计价表、综合单价分析表、总价措施项目清单与计价表、其他项目清单与计价汇总表、专业工程暂估价及结算价表、规费、税金项目计价表、单位工程人材机分析表、单位工程设备表、单位工程主材表）</w:t>
      </w:r>
    </w:p>
    <w:p>
      <w:pPr>
        <w:adjustRightInd w:val="0"/>
        <w:snapToGrid w:val="0"/>
        <w:spacing w:line="360" w:lineRule="auto"/>
        <w:ind w:firstLine="480" w:firstLineChars="200"/>
        <w:jc w:val="both"/>
        <w:textAlignment w:val="baseline"/>
        <w:rPr>
          <w:rFonts w:hint="eastAsia" w:ascii="宋体" w:hAnsi="宋体" w:eastAsia="宋体" w:cs="宋体"/>
          <w:color w:val="auto"/>
          <w:kern w:val="2"/>
          <w:sz w:val="24"/>
          <w:szCs w:val="24"/>
          <w:highlight w:val="none"/>
          <w:lang w:eastAsia="zh-CN"/>
        </w:rPr>
        <w:sectPr>
          <w:pgSz w:w="12240" w:h="15840"/>
          <w:pgMar w:top="1502" w:right="1678" w:bottom="1123" w:left="1701" w:header="0" w:footer="918" w:gutter="0"/>
          <w:pgNumType w:fmt="decimal"/>
          <w:cols w:space="720" w:num="1"/>
          <w:docGrid w:linePitch="1" w:charSpace="0"/>
        </w:sectPr>
      </w:pPr>
      <w:r>
        <w:rPr>
          <w:rFonts w:hint="eastAsia" w:ascii="宋体" w:hAnsi="宋体" w:eastAsia="宋体" w:cs="宋体"/>
          <w:color w:val="auto"/>
          <w:kern w:val="2"/>
          <w:sz w:val="24"/>
          <w:szCs w:val="24"/>
          <w:highlight w:val="none"/>
          <w:lang w:eastAsia="zh-CN"/>
        </w:rPr>
        <w:t>报价明细见</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lang w:eastAsia="zh-CN"/>
        </w:rPr>
        <w:t>文件附件《工程量清单》。</w:t>
      </w:r>
    </w:p>
    <w:p>
      <w:pPr>
        <w:pStyle w:val="2"/>
        <w:rPr>
          <w:rFonts w:hint="eastAsia" w:ascii="宋体" w:hAnsi="宋体" w:eastAsia="宋体" w:cs="宋体"/>
          <w:color w:val="auto"/>
          <w:sz w:val="24"/>
          <w:szCs w:val="24"/>
          <w:highlight w:val="none"/>
          <w:lang w:eastAsia="zh-CN"/>
        </w:rPr>
      </w:pPr>
      <w:bookmarkStart w:id="424" w:name="_Toc12158"/>
      <w:bookmarkStart w:id="425" w:name="_Toc4634"/>
      <w:r>
        <w:rPr>
          <w:rFonts w:hint="eastAsia" w:ascii="宋体" w:hAnsi="宋体" w:eastAsia="宋体" w:cs="宋体"/>
          <w:color w:val="auto"/>
          <w:sz w:val="24"/>
          <w:szCs w:val="24"/>
          <w:highlight w:val="none"/>
          <w:lang w:eastAsia="zh-CN"/>
        </w:rPr>
        <w:t>八、施工组织设计</w:t>
      </w:r>
      <w:bookmarkEnd w:id="344"/>
      <w:bookmarkEnd w:id="345"/>
      <w:bookmarkEnd w:id="346"/>
      <w:bookmarkEnd w:id="347"/>
      <w:bookmarkEnd w:id="361"/>
      <w:bookmarkEnd w:id="362"/>
      <w:bookmarkEnd w:id="363"/>
      <w:bookmarkEnd w:id="364"/>
      <w:bookmarkEnd w:id="424"/>
      <w:bookmarkEnd w:id="425"/>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1.投标人应根据招标文件和对现场的勘察情况，采用文字并结合图表形式。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2.施工组织设计除采用文字表述外可附下列图表，图表及格式要求附后。</w:t>
      </w:r>
    </w:p>
    <w:p>
      <w:pPr>
        <w:autoSpaceDE w:val="0"/>
        <w:autoSpaceDN w:val="0"/>
        <w:adjustRightInd w:val="0"/>
        <w:spacing w:line="360" w:lineRule="auto"/>
        <w:ind w:firstLine="1027" w:firstLineChars="4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附表一 拟投入本项目的主要施工设备及环保设备表</w:t>
      </w:r>
    </w:p>
    <w:p>
      <w:pPr>
        <w:autoSpaceDE w:val="0"/>
        <w:autoSpaceDN w:val="0"/>
        <w:adjustRightInd w:val="0"/>
        <w:spacing w:line="360" w:lineRule="auto"/>
        <w:ind w:firstLine="1027" w:firstLineChars="4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附表二 拟配备本项目的试验和检测仪器设备表</w:t>
      </w:r>
    </w:p>
    <w:p>
      <w:pPr>
        <w:autoSpaceDE w:val="0"/>
        <w:autoSpaceDN w:val="0"/>
        <w:adjustRightInd w:val="0"/>
        <w:spacing w:line="360" w:lineRule="auto"/>
        <w:ind w:firstLine="1027" w:firstLineChars="4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附表三 劳动力计划表</w:t>
      </w:r>
    </w:p>
    <w:p>
      <w:pPr>
        <w:autoSpaceDE w:val="0"/>
        <w:autoSpaceDN w:val="0"/>
        <w:adjustRightInd w:val="0"/>
        <w:spacing w:line="360" w:lineRule="auto"/>
        <w:ind w:firstLine="1027" w:firstLineChars="4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附表四 计划开、竣工日期和施工进度网络图</w:t>
      </w:r>
    </w:p>
    <w:p>
      <w:pPr>
        <w:autoSpaceDE w:val="0"/>
        <w:autoSpaceDN w:val="0"/>
        <w:adjustRightInd w:val="0"/>
        <w:spacing w:line="360" w:lineRule="auto"/>
        <w:ind w:firstLine="1027" w:firstLineChars="4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附表五 施工总平面图</w:t>
      </w:r>
    </w:p>
    <w:p>
      <w:pPr>
        <w:tabs>
          <w:tab w:val="left" w:pos="600"/>
        </w:tabs>
        <w:ind w:firstLine="964" w:firstLineChars="4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注：以上内容仅作为格式参考，不作为废标项。</w:t>
      </w:r>
    </w:p>
    <w:p>
      <w:pPr>
        <w:pStyle w:val="4"/>
        <w:rPr>
          <w:rFonts w:hint="eastAsia" w:ascii="宋体" w:hAnsi="宋体" w:eastAsia="宋体" w:cs="宋体"/>
          <w:color w:val="auto"/>
          <w:sz w:val="24"/>
          <w:szCs w:val="24"/>
          <w:highlight w:val="none"/>
        </w:rPr>
        <w:sectPr>
          <w:footerReference r:id="rId12" w:type="default"/>
          <w:pgSz w:w="11907" w:h="16840"/>
          <w:pgMar w:top="1500" w:right="1720" w:bottom="1120" w:left="1720" w:header="0" w:footer="921" w:gutter="0"/>
          <w:pgNumType w:fmt="decimal"/>
          <w:cols w:space="720" w:num="1"/>
        </w:sectPr>
      </w:pPr>
      <w:bookmarkStart w:id="426" w:name="_Toc480213817"/>
      <w:bookmarkStart w:id="427" w:name="_Toc487127464"/>
      <w:bookmarkStart w:id="428" w:name="_Toc479969310"/>
      <w:bookmarkStart w:id="429" w:name="_Toc479969457"/>
      <w:bookmarkStart w:id="430" w:name="_Toc456354376"/>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w:t>
      </w:r>
      <w:bookmarkStart w:id="431" w:name="G拟投入本项目的主要施工设备表"/>
      <w:r>
        <w:rPr>
          <w:rFonts w:hint="eastAsia" w:ascii="宋体" w:hAnsi="宋体" w:eastAsia="宋体" w:cs="宋体"/>
          <w:color w:val="auto"/>
          <w:sz w:val="24"/>
          <w:szCs w:val="24"/>
          <w:highlight w:val="none"/>
        </w:rPr>
        <w:t>拟投入本项目的主要施工设备及环保设备表</w:t>
      </w:r>
      <w:bookmarkEnd w:id="426"/>
      <w:bookmarkEnd w:id="427"/>
      <w:bookmarkEnd w:id="428"/>
      <w:bookmarkEnd w:id="429"/>
      <w:bookmarkEnd w:id="430"/>
      <w:bookmarkEnd w:id="43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91"/>
        <w:gridCol w:w="850"/>
        <w:gridCol w:w="709"/>
        <w:gridCol w:w="850"/>
        <w:gridCol w:w="851"/>
        <w:gridCol w:w="1134"/>
        <w:gridCol w:w="850"/>
        <w:gridCol w:w="9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9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709"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5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13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w:t>
            </w: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99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56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9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709"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3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99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56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9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709"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3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99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56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9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709"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3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99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56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9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709"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3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99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56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9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709"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1"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3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50"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99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56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bl>
    <w:p>
      <w:pPr>
        <w:autoSpaceDE w:val="0"/>
        <w:autoSpaceDN w:val="0"/>
        <w:adjustRightInd w:val="0"/>
        <w:spacing w:line="420" w:lineRule="exact"/>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bookmarkStart w:id="432" w:name="_Toc487127465"/>
      <w:bookmarkStart w:id="433" w:name="_Toc456354377"/>
      <w:bookmarkStart w:id="434" w:name="_Toc479969311"/>
      <w:bookmarkStart w:id="435" w:name="_Toc480213818"/>
      <w:bookmarkStart w:id="436" w:name="_Toc479969458"/>
      <w:r>
        <w:rPr>
          <w:rFonts w:hint="eastAsia" w:ascii="宋体" w:hAnsi="宋体" w:eastAsia="宋体" w:cs="宋体"/>
          <w:color w:val="auto"/>
          <w:sz w:val="24"/>
          <w:szCs w:val="24"/>
          <w:highlight w:val="none"/>
        </w:rPr>
        <w:t>附表二：</w:t>
      </w:r>
      <w:bookmarkStart w:id="437" w:name="H拟配备本项目的试验和检测仪器设备表"/>
      <w:r>
        <w:rPr>
          <w:rFonts w:hint="eastAsia" w:ascii="宋体" w:hAnsi="宋体" w:eastAsia="宋体" w:cs="宋体"/>
          <w:color w:val="auto"/>
          <w:sz w:val="24"/>
          <w:szCs w:val="24"/>
          <w:highlight w:val="none"/>
        </w:rPr>
        <w:t>拟配备本项目的试验和检测仪器设备表</w:t>
      </w:r>
      <w:bookmarkEnd w:id="432"/>
      <w:bookmarkEnd w:id="433"/>
      <w:bookmarkEnd w:id="434"/>
      <w:bookmarkEnd w:id="435"/>
      <w:bookmarkEnd w:id="436"/>
      <w:bookmarkEnd w:id="437"/>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2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2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8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16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已使用台</w:t>
            </w:r>
          </w:p>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时数</w:t>
            </w: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22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8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22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8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22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8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22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8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227"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88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p>
        </w:tc>
      </w:tr>
    </w:tbl>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38" w:name="_Toc479969459"/>
      <w:bookmarkStart w:id="439" w:name="_Toc480213819"/>
      <w:bookmarkStart w:id="440" w:name="_Toc479969312"/>
      <w:bookmarkStart w:id="441" w:name="_Toc487127466"/>
      <w:bookmarkStart w:id="442" w:name="_Toc456354378"/>
      <w:r>
        <w:rPr>
          <w:rFonts w:hint="eastAsia" w:ascii="宋体" w:hAnsi="宋体" w:eastAsia="宋体" w:cs="宋体"/>
          <w:color w:val="auto"/>
          <w:sz w:val="24"/>
          <w:szCs w:val="24"/>
          <w:highlight w:val="none"/>
        </w:rPr>
        <w:t>附表三：</w:t>
      </w:r>
      <w:bookmarkStart w:id="443" w:name="I劳动力计划表"/>
      <w:r>
        <w:rPr>
          <w:rFonts w:hint="eastAsia" w:ascii="宋体" w:hAnsi="宋体" w:eastAsia="宋体" w:cs="宋体"/>
          <w:color w:val="auto"/>
          <w:sz w:val="24"/>
          <w:szCs w:val="24"/>
          <w:highlight w:val="none"/>
        </w:rPr>
        <w:t>劳动力计划表</w:t>
      </w:r>
      <w:bookmarkEnd w:id="438"/>
      <w:bookmarkEnd w:id="439"/>
      <w:bookmarkEnd w:id="440"/>
      <w:bookmarkEnd w:id="441"/>
      <w:bookmarkEnd w:id="442"/>
      <w:bookmarkEnd w:id="443"/>
    </w:p>
    <w:p>
      <w:pPr>
        <w:autoSpaceDE w:val="0"/>
        <w:autoSpaceDN w:val="0"/>
        <w:adjustRightInd w:val="0"/>
        <w:spacing w:line="4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8157" w:type="dxa"/>
            <w:gridSpan w:val="7"/>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8"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8"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8"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8"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8"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4"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c>
          <w:tcPr>
            <w:tcW w:w="1168" w:type="dxa"/>
            <w:vAlign w:val="center"/>
          </w:tcPr>
          <w:p>
            <w:pPr>
              <w:autoSpaceDE w:val="0"/>
              <w:autoSpaceDN w:val="0"/>
              <w:adjustRightInd w:val="0"/>
              <w:spacing w:line="420" w:lineRule="exact"/>
              <w:jc w:val="center"/>
              <w:rPr>
                <w:rFonts w:hint="eastAsia" w:ascii="宋体" w:hAnsi="宋体" w:eastAsia="宋体" w:cs="宋体"/>
                <w:color w:val="auto"/>
                <w:sz w:val="24"/>
                <w:szCs w:val="24"/>
                <w:highlight w:val="none"/>
                <w:lang w:eastAsia="zh-CN"/>
              </w:rPr>
            </w:pPr>
          </w:p>
        </w:tc>
      </w:tr>
    </w:tbl>
    <w:p>
      <w:pPr>
        <w:autoSpaceDE w:val="0"/>
        <w:autoSpaceDN w:val="0"/>
        <w:adjustRightInd w:val="0"/>
        <w:spacing w:line="420" w:lineRule="exact"/>
        <w:rPr>
          <w:rFonts w:hint="eastAsia" w:ascii="宋体" w:hAnsi="宋体" w:eastAsia="宋体" w:cs="宋体"/>
          <w:color w:val="auto"/>
          <w:sz w:val="24"/>
          <w:szCs w:val="24"/>
          <w:highlight w:val="none"/>
          <w:lang w:eastAsia="zh-CN"/>
        </w:rPr>
      </w:pPr>
    </w:p>
    <w:p>
      <w:pPr>
        <w:pStyle w:val="4"/>
        <w:rPr>
          <w:rFonts w:hint="eastAsia" w:ascii="宋体" w:hAnsi="宋体" w:eastAsia="宋体" w:cs="宋体"/>
          <w:color w:val="auto"/>
          <w:sz w:val="24"/>
          <w:szCs w:val="24"/>
          <w:highlight w:val="none"/>
        </w:rPr>
      </w:pPr>
      <w:bookmarkStart w:id="444" w:name="_Toc479969313"/>
      <w:bookmarkStart w:id="445" w:name="_Toc480213820"/>
      <w:bookmarkStart w:id="446" w:name="_Toc487127467"/>
      <w:bookmarkStart w:id="447" w:name="_Toc456354379"/>
      <w:bookmarkStart w:id="448" w:name="_Toc479969460"/>
      <w:r>
        <w:rPr>
          <w:rFonts w:hint="eastAsia" w:ascii="宋体" w:hAnsi="宋体" w:eastAsia="宋体" w:cs="宋体"/>
          <w:color w:val="auto"/>
          <w:sz w:val="24"/>
          <w:szCs w:val="24"/>
          <w:highlight w:val="none"/>
        </w:rPr>
        <w:t>附表四：计划开、竣工日期和施工进度网络图</w:t>
      </w:r>
      <w:bookmarkEnd w:id="444"/>
      <w:bookmarkEnd w:id="445"/>
      <w:bookmarkEnd w:id="446"/>
      <w:bookmarkEnd w:id="447"/>
      <w:bookmarkEnd w:id="448"/>
    </w:p>
    <w:p>
      <w:pPr>
        <w:autoSpaceDE w:val="0"/>
        <w:autoSpaceDN w:val="0"/>
        <w:adjustRightInd w:val="0"/>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投标人应递交施工进度网络图（或横道图）的施工进度表，说明按招标文件要求的计划工期进行施工的各个关键日期。</w:t>
      </w:r>
    </w:p>
    <w:p>
      <w:pPr>
        <w:autoSpaceDE w:val="0"/>
        <w:autoSpaceDN w:val="0"/>
        <w:adjustRightInd w:val="0"/>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施工进度表可采用网络图（或横道图）表示。</w:t>
      </w:r>
    </w:p>
    <w:p>
      <w:pPr>
        <w:rPr>
          <w:rFonts w:hint="eastAsia" w:ascii="宋体" w:hAnsi="宋体" w:eastAsia="宋体" w:cs="宋体"/>
          <w:color w:val="auto"/>
          <w:sz w:val="24"/>
          <w:szCs w:val="24"/>
          <w:highlight w:val="none"/>
          <w:lang w:eastAsia="zh-CN"/>
        </w:rPr>
      </w:pPr>
    </w:p>
    <w:p>
      <w:pPr>
        <w:pStyle w:val="4"/>
        <w:rPr>
          <w:rFonts w:hint="eastAsia" w:ascii="宋体" w:hAnsi="宋体" w:eastAsia="宋体" w:cs="宋体"/>
          <w:color w:val="auto"/>
          <w:sz w:val="24"/>
          <w:szCs w:val="24"/>
          <w:highlight w:val="none"/>
        </w:rPr>
      </w:pPr>
      <w:bookmarkStart w:id="449" w:name="_Toc479969314"/>
      <w:bookmarkStart w:id="450" w:name="_Toc487127468"/>
      <w:bookmarkStart w:id="451" w:name="_Toc479969461"/>
      <w:bookmarkStart w:id="452" w:name="_Toc480213821"/>
      <w:bookmarkStart w:id="453" w:name="_Toc456354380"/>
      <w:r>
        <w:rPr>
          <w:rFonts w:hint="eastAsia" w:ascii="宋体" w:hAnsi="宋体" w:eastAsia="宋体" w:cs="宋体"/>
          <w:color w:val="auto"/>
          <w:sz w:val="24"/>
          <w:szCs w:val="24"/>
          <w:highlight w:val="none"/>
        </w:rPr>
        <w:t>附表五：施工总平面图</w:t>
      </w:r>
      <w:bookmarkEnd w:id="449"/>
      <w:bookmarkEnd w:id="450"/>
      <w:bookmarkEnd w:id="451"/>
      <w:bookmarkEnd w:id="452"/>
      <w:bookmarkEnd w:id="453"/>
    </w:p>
    <w:p>
      <w:pPr>
        <w:autoSpaceDE w:val="0"/>
        <w:autoSpaceDN w:val="0"/>
        <w:adjustRightInd w:val="0"/>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投标人应递交一份施工总平面图，绘出现场临时设施布置图表并附文字说明。</w:t>
      </w:r>
    </w:p>
    <w:p>
      <w:pPr>
        <w:autoSpaceDE w:val="0"/>
        <w:autoSpaceDN w:val="0"/>
        <w:adjustRightInd w:val="0"/>
        <w:spacing w:line="420" w:lineRule="exact"/>
        <w:rPr>
          <w:rFonts w:hint="eastAsia" w:ascii="宋体" w:hAnsi="宋体" w:eastAsia="宋体" w:cs="宋体"/>
          <w:color w:val="auto"/>
          <w:sz w:val="24"/>
          <w:szCs w:val="24"/>
          <w:highlight w:val="none"/>
          <w:lang w:eastAsia="zh-CN"/>
        </w:rPr>
      </w:pPr>
    </w:p>
    <w:p>
      <w:pPr>
        <w:spacing w:line="360" w:lineRule="auto"/>
        <w:rPr>
          <w:rFonts w:hint="eastAsia" w:ascii="宋体" w:hAnsi="宋体" w:eastAsia="宋体" w:cs="宋体"/>
          <w:color w:val="auto"/>
          <w:sz w:val="24"/>
          <w:szCs w:val="24"/>
          <w:highlight w:val="none"/>
          <w:lang w:eastAsia="zh-CN"/>
        </w:rPr>
      </w:pPr>
    </w:p>
    <w:p>
      <w:pPr>
        <w:spacing w:line="360" w:lineRule="auto"/>
        <w:rPr>
          <w:rFonts w:hint="eastAsia" w:ascii="宋体" w:hAnsi="宋体" w:eastAsia="宋体" w:cs="宋体"/>
          <w:color w:val="auto"/>
          <w:sz w:val="24"/>
          <w:szCs w:val="24"/>
          <w:highlight w:val="none"/>
          <w:lang w:eastAsia="zh-CN"/>
        </w:rPr>
      </w:pPr>
    </w:p>
    <w:p>
      <w:pPr>
        <w:pStyle w:val="68"/>
        <w:outlineLvl w:val="9"/>
        <w:rPr>
          <w:rFonts w:hint="eastAsia" w:ascii="宋体" w:hAnsi="宋体" w:eastAsia="宋体" w:cs="宋体"/>
          <w:color w:val="auto"/>
          <w:sz w:val="24"/>
          <w:szCs w:val="24"/>
          <w:highlight w:val="none"/>
        </w:rPr>
      </w:pPr>
      <w:bookmarkStart w:id="454" w:name="_Toc18779"/>
      <w:bookmarkStart w:id="455" w:name="_Toc394042561"/>
      <w:bookmarkStart w:id="456" w:name="_Toc29854_WPSOffice_Level1"/>
      <w:bookmarkStart w:id="457" w:name="_Toc21877"/>
      <w:bookmarkStart w:id="458" w:name="_Toc20431"/>
      <w:bookmarkStart w:id="459" w:name="_Toc17692"/>
      <w:bookmarkStart w:id="460" w:name="_Toc17420_WPSOffice_Level1"/>
      <w:bookmarkStart w:id="461" w:name="_Toc29493"/>
    </w:p>
    <w:p>
      <w:pPr>
        <w:spacing w:line="400" w:lineRule="exact"/>
        <w:jc w:val="both"/>
        <w:rPr>
          <w:rFonts w:hint="eastAsia" w:ascii="宋体" w:hAnsi="宋体" w:eastAsia="宋体" w:cs="宋体"/>
          <w:b/>
          <w:color w:val="auto"/>
          <w:sz w:val="24"/>
          <w:szCs w:val="24"/>
          <w:highlight w:val="none"/>
          <w:u w:val="single"/>
          <w:shd w:val="pct10" w:color="auto" w:fill="FFFFFF"/>
          <w:lang w:eastAsia="zh-CN"/>
        </w:rPr>
      </w:pPr>
      <w:r>
        <w:rPr>
          <w:rFonts w:hint="eastAsia" w:ascii="宋体" w:hAnsi="宋体" w:eastAsia="宋体" w:cs="宋体"/>
          <w:color w:val="auto"/>
          <w:sz w:val="24"/>
          <w:szCs w:val="24"/>
          <w:highlight w:val="none"/>
          <w:lang w:eastAsia="zh-CN"/>
        </w:rPr>
        <w:br w:type="page"/>
      </w:r>
      <w:bookmarkEnd w:id="454"/>
      <w:bookmarkEnd w:id="455"/>
      <w:bookmarkEnd w:id="456"/>
      <w:bookmarkEnd w:id="457"/>
      <w:bookmarkEnd w:id="458"/>
      <w:bookmarkEnd w:id="459"/>
      <w:bookmarkEnd w:id="460"/>
      <w:bookmarkEnd w:id="461"/>
      <w:bookmarkStart w:id="462" w:name="_Toc26695"/>
      <w:bookmarkStart w:id="463" w:name="_Toc23646"/>
      <w:bookmarkStart w:id="464" w:name="_Toc21090"/>
      <w:bookmarkStart w:id="465" w:name="_Toc26717_WPSOffice_Level1"/>
      <w:bookmarkStart w:id="466" w:name="_Toc28653_WPSOffice_Level1"/>
      <w:bookmarkStart w:id="467" w:name="_Toc20746"/>
      <w:bookmarkStart w:id="468" w:name="_Toc239"/>
    </w:p>
    <w:p>
      <w:pPr>
        <w:pStyle w:val="2"/>
        <w:rPr>
          <w:rFonts w:hint="eastAsia" w:ascii="宋体" w:hAnsi="宋体" w:eastAsia="宋体" w:cs="宋体"/>
          <w:color w:val="auto"/>
          <w:sz w:val="24"/>
          <w:szCs w:val="24"/>
          <w:highlight w:val="none"/>
          <w:lang w:eastAsia="zh-CN"/>
        </w:rPr>
      </w:pPr>
      <w:bookmarkStart w:id="469" w:name="_Toc12632"/>
      <w:bookmarkStart w:id="470" w:name="_Toc25889"/>
      <w:r>
        <w:rPr>
          <w:rFonts w:hint="eastAsia" w:ascii="宋体" w:hAnsi="宋体" w:eastAsia="宋体" w:cs="宋体"/>
          <w:color w:val="auto"/>
          <w:sz w:val="24"/>
          <w:szCs w:val="24"/>
          <w:highlight w:val="none"/>
          <w:lang w:eastAsia="zh-CN"/>
        </w:rPr>
        <w:t>九、</w:t>
      </w:r>
      <w:bookmarkEnd w:id="462"/>
      <w:bookmarkEnd w:id="463"/>
      <w:bookmarkEnd w:id="464"/>
      <w:r>
        <w:rPr>
          <w:rFonts w:hint="eastAsia" w:ascii="宋体" w:hAnsi="宋体" w:eastAsia="宋体" w:cs="宋体"/>
          <w:color w:val="auto"/>
          <w:sz w:val="24"/>
          <w:szCs w:val="24"/>
          <w:highlight w:val="none"/>
          <w:lang w:eastAsia="zh-CN"/>
        </w:rPr>
        <w:t>廉洁承诺书</w:t>
      </w:r>
      <w:bookmarkEnd w:id="465"/>
      <w:bookmarkEnd w:id="466"/>
      <w:bookmarkEnd w:id="467"/>
      <w:bookmarkEnd w:id="468"/>
      <w:bookmarkEnd w:id="469"/>
      <w:bookmarkEnd w:id="470"/>
    </w:p>
    <w:p>
      <w:pPr>
        <w:widowControl/>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招标人名称：</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kinsoku/>
        <w:wordWrap/>
        <w:overflowPunct/>
        <w:topLinePunct w:val="0"/>
        <w:bidi w:val="0"/>
        <w:snapToGrid/>
        <w:spacing w:line="360" w:lineRule="auto"/>
        <w:ind w:firstLine="470" w:firstLineChars="196"/>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为营造公开、公平、公正、诚实守信的采购环境，树立诚信守法的供应商形象，本人代表本单位在参与贵方项目采购活动中，作出以下承诺：</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一、本单位严格按照招标采购等各项法律法规、规章制度及操作规程和办事程序参与采购活动，自觉遵守采购单位有关廉政建设要求，主动接受相关部门的监督。</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二、对所提交的单位基本信息、项目负责人、技术负责人、从业资质和资格、业绩、财务状况、信誉等所有资料，均合法、真实、准确、有效，无任何伪造、修改、虚假成份，并对所提供资料的真实性负责。</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三、自我约束、自我管理，守合同、重信用，不参与围标串标、弄虚作假、骗取中标、干扰评标、违约毁约等行为，自觉维护采购单位采购良好秩序。</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五、一旦发现采购单位相关人员在采购过程中有索要财物等不廉洁行为，坚决予以抵制，并及时向采购单位纪检监察部门举报（电话：</w:t>
      </w:r>
      <w:r>
        <w:rPr>
          <w:rFonts w:hint="eastAsia" w:ascii="宋体" w:hAnsi="宋体" w:eastAsia="宋体" w:cs="宋体"/>
          <w:color w:val="auto"/>
          <w:sz w:val="24"/>
          <w:szCs w:val="24"/>
          <w:highlight w:val="none"/>
          <w:u w:val="single"/>
          <w:lang w:eastAsia="zh-CN"/>
        </w:rPr>
        <w:t>0371-69158897</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六、我方自愿将本承诺书作为采购投标文件的附件，具有同等的法律效力。</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本单位将严格遵守以上承诺，如发生违法违规或不良行为，自愿接受投资集团相关部门给予的处理，列入投资集团系统采购“黑名单”，并依法承担责任。</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作为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（单位）的法定代表人（授权代理人），已认真阅读了上述承诺，并向本单位员工作了宣传教育。</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eastAsia="zh-CN"/>
        </w:rPr>
      </w:pPr>
    </w:p>
    <w:p>
      <w:pPr>
        <w:pStyle w:val="12"/>
        <w:rPr>
          <w:rFonts w:hint="eastAsia" w:ascii="宋体" w:hAnsi="宋体" w:eastAsia="宋体" w:cs="宋体"/>
          <w:color w:val="auto"/>
          <w:sz w:val="24"/>
          <w:szCs w:val="24"/>
          <w:highlight w:val="none"/>
          <w:lang w:eastAsia="zh-CN"/>
        </w:rPr>
      </w:pPr>
    </w:p>
    <w:p>
      <w:pPr>
        <w:keepNext w:val="0"/>
        <w:keepLines w:val="0"/>
        <w:pageBreakBefore w:val="0"/>
        <w:kinsoku/>
        <w:wordWrap/>
        <w:overflowPunct/>
        <w:topLinePunct w:val="0"/>
        <w:autoSpaceDE w:val="0"/>
        <w:autoSpaceDN w:val="0"/>
        <w:bidi w:val="0"/>
        <w:adjustRightInd w:val="0"/>
        <w:snapToGrid/>
        <w:spacing w:line="360" w:lineRule="auto"/>
        <w:ind w:firstLine="720" w:firstLineChars="3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投标人（单位名称）：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（盖章）</w:t>
      </w:r>
    </w:p>
    <w:p>
      <w:pPr>
        <w:keepNext w:val="0"/>
        <w:keepLines w:val="0"/>
        <w:pageBreakBefore w:val="0"/>
        <w:kinsoku/>
        <w:wordWrap/>
        <w:overflowPunct/>
        <w:topLinePunct w:val="0"/>
        <w:autoSpaceDE w:val="0"/>
        <w:autoSpaceDN w:val="0"/>
        <w:bidi w:val="0"/>
        <w:adjustRightInd w:val="0"/>
        <w:snapToGrid/>
        <w:spacing w:line="360" w:lineRule="auto"/>
        <w:ind w:firstLine="720" w:firstLineChars="3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法定代表人或其委托代理人：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keepNext w:val="0"/>
        <w:keepLines w:val="0"/>
        <w:pageBreakBefore w:val="0"/>
        <w:kinsoku/>
        <w:wordWrap/>
        <w:overflowPunct/>
        <w:topLinePunct w:val="0"/>
        <w:bidi w:val="0"/>
        <w:snapToGrid/>
        <w:spacing w:line="360" w:lineRule="auto"/>
        <w:jc w:val="right"/>
        <w:textAlignment w:val="auto"/>
        <w:rPr>
          <w:rFonts w:hint="eastAsia" w:ascii="宋体" w:hAnsi="宋体" w:eastAsia="宋体" w:cs="宋体"/>
          <w:color w:val="auto"/>
          <w:sz w:val="24"/>
          <w:szCs w:val="24"/>
          <w:highlight w:val="none"/>
          <w:lang w:eastAsia="zh-CN"/>
        </w:rPr>
        <w:sectPr>
          <w:footerReference r:id="rId13" w:type="default"/>
          <w:pgSz w:w="11907" w:h="16840"/>
          <w:pgMar w:top="1500" w:right="1720" w:bottom="1120" w:left="1720" w:header="0" w:footer="921" w:gutter="0"/>
          <w:pgNumType w:fmt="decimal"/>
          <w:cols w:space="720" w:num="1"/>
        </w:sect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bookmarkStart w:id="471" w:name="_Toc31000"/>
      <w:bookmarkStart w:id="472" w:name="_Toc26763_WPSOffice_Level1"/>
      <w:bookmarkStart w:id="473" w:name="_Toc9315_WPSOffice_Level1"/>
      <w:bookmarkStart w:id="474" w:name="_Toc2997"/>
    </w:p>
    <w:bookmarkEnd w:id="471"/>
    <w:bookmarkEnd w:id="472"/>
    <w:bookmarkEnd w:id="473"/>
    <w:bookmarkEnd w:id="474"/>
    <w:p>
      <w:pPr>
        <w:pStyle w:val="2"/>
        <w:numPr>
          <w:ilvl w:val="0"/>
          <w:numId w:val="0"/>
        </w:numPr>
        <w:bidi w:val="0"/>
        <w:jc w:val="center"/>
        <w:rPr>
          <w:rFonts w:hint="eastAsia" w:ascii="宋体" w:hAnsi="宋体" w:eastAsia="宋体" w:cs="宋体"/>
          <w:color w:val="auto"/>
          <w:sz w:val="24"/>
          <w:szCs w:val="24"/>
          <w:highlight w:val="none"/>
          <w:lang w:eastAsia="zh-CN"/>
        </w:rPr>
      </w:pPr>
      <w:bookmarkStart w:id="475" w:name="_Toc26075"/>
      <w:bookmarkStart w:id="476" w:name="_Toc14482"/>
      <w:r>
        <w:rPr>
          <w:rFonts w:hint="eastAsia"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其他材料</w:t>
      </w:r>
      <w:bookmarkEnd w:id="475"/>
      <w:bookmarkEnd w:id="476"/>
    </w:p>
    <w:p>
      <w:pPr>
        <w:pStyle w:val="34"/>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投标人认为应提供的其他材料。</w:t>
      </w:r>
    </w:p>
    <w:p>
      <w:pPr>
        <w:rPr>
          <w:rFonts w:hint="eastAsia" w:ascii="宋体" w:hAnsi="宋体" w:eastAsia="宋体" w:cs="宋体"/>
          <w:color w:val="auto"/>
          <w:sz w:val="24"/>
          <w:szCs w:val="24"/>
          <w:highlight w:val="none"/>
          <w:lang w:eastAsia="zh-CN"/>
        </w:rPr>
      </w:pPr>
    </w:p>
    <w:sectPr>
      <w:footerReference r:id="rId14" w:type="default"/>
      <w:pgSz w:w="11907" w:h="16840"/>
      <w:pgMar w:top="1500" w:right="1720" w:bottom="1120" w:left="1720" w:header="0" w:footer="92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CS中宋">
    <w:altName w:val="宋体"/>
    <w:panose1 w:val="00000000000000000000"/>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29</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13" name="文本框 1035"/>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rPr>
                              <w:rFonts w:ascii="Calibri"/>
                              <w:sz w:val="18"/>
                            </w:rPr>
                          </w:pPr>
                        </w:p>
                      </w:txbxContent>
                    </wps:txbx>
                    <wps:bodyPr lIns="0" tIns="0" rIns="0" bIns="0" upright="1"/>
                  </wps:wsp>
                </a:graphicData>
              </a:graphic>
            </wp:anchor>
          </w:drawing>
        </mc:Choice>
        <mc:Fallback>
          <w:pict>
            <v:shape id="文本框 1035"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2yQofaAAAADQEAAA8AAAAAAAAAAQAgAAAAIgAAAGRycy9kb3ducmV2Lnht&#10;bFBLAQIUABQAAAAIAIdO4kDpis0fvgEAAHUDAAAOAAAAAAAAAAEAIAAAACkBAABkcnMvZTJvRG9j&#10;LnhtbFBLBQYAAAAABgAGAFkBAABZBQAAAAA=&#10;">
              <v:fill on="f" focussize="0,0"/>
              <v:stroke on="f"/>
              <v:imagedata o:title=""/>
              <o:lock v:ext="edit" aspectratio="f"/>
              <v:textbox inset="0mm,0mm,0mm,0mm">
                <w:txbxContent>
                  <w:p>
                    <w:pPr>
                      <w:spacing w:line="203" w:lineRule="exact"/>
                      <w:rPr>
                        <w:rFonts w:ascii="Calibri"/>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rFonts w:hAnsi="Times New Roman" w:cs="Times New Roman"/>
        <w:kern w:val="2"/>
        <w:sz w:val="18"/>
        <w:szCs w:val="20"/>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48</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24" name="文本框 1035"/>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rPr>
                              <w:rFonts w:ascii="Calibri"/>
                              <w:sz w:val="18"/>
                            </w:rPr>
                          </w:pPr>
                        </w:p>
                      </w:txbxContent>
                    </wps:txbx>
                    <wps:bodyPr lIns="0" tIns="0" rIns="0" bIns="0" upright="1"/>
                  </wps:wsp>
                </a:graphicData>
              </a:graphic>
            </wp:anchor>
          </w:drawing>
        </mc:Choice>
        <mc:Fallback>
          <w:pict>
            <v:shape id="文本框 1035" o:spid="_x0000_s1026" o:spt="202" type="#_x0000_t202" style="position:absolute;left:0pt;margin-left:300.5pt;margin-top:734.95pt;height:11pt;width:11.15pt;mso-position-horizontal-relative:page;mso-position-vertical-relative:page;z-index:-251656192;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2yQofaAAAADQEAAA8AAAAAAAAAAQAgAAAAIgAAAGRycy9kb3ducmV2Lnht&#10;bFBLAQIUABQAAAAIAIdO4kDZcXZSvgEAAHUDAAAOAAAAAAAAAAEAIAAAACkBAABkcnMvZTJvRG9j&#10;LnhtbFBLBQYAAAAABgAGAFkBAABZBQAAAAA=&#10;">
              <v:fill on="f" focussize="0,0"/>
              <v:stroke on="f"/>
              <v:imagedata o:title=""/>
              <o:lock v:ext="edit" aspectratio="f"/>
              <v:textbox inset="0mm,0mm,0mm,0mm">
                <w:txbxContent>
                  <w:p>
                    <w:pPr>
                      <w:spacing w:line="203" w:lineRule="exact"/>
                      <w:rPr>
                        <w:rFonts w:ascii="Calibri"/>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49</w:t>
                    </w:r>
                    <w:r>
                      <w:fldChar w:fldCharType="end"/>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26" name="文本框 1035"/>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rPr>
                              <w:rFonts w:ascii="Calibri"/>
                              <w:sz w:val="18"/>
                            </w:rPr>
                          </w:pPr>
                        </w:p>
                      </w:txbxContent>
                    </wps:txbx>
                    <wps:bodyPr lIns="0" tIns="0" rIns="0" bIns="0" upright="1"/>
                  </wps:wsp>
                </a:graphicData>
              </a:graphic>
            </wp:anchor>
          </w:drawing>
        </mc:Choice>
        <mc:Fallback>
          <w:pict>
            <v:shape id="文本框 1035" o:spid="_x0000_s1026" o:spt="202" type="#_x0000_t202" style="position:absolute;left:0pt;margin-left:300.5pt;margin-top:734.95pt;height:11pt;width:11.15pt;mso-position-horizontal-relative:page;mso-position-vertical-relative:page;z-index:-251655168;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2yQofaAAAADQEAAA8AAAAAAAAAAQAgAAAAIgAAAGRycy9kb3ducmV2Lnht&#10;bFBLAQIUABQAAAAIAIdO4kB+yfRJvgEAAHUDAAAOAAAAAAAAAAEAIAAAACkBAABkcnMvZTJvRG9j&#10;LnhtbFBLBQYAAAAABgAGAFkBAABZBQAAAAA=&#10;">
              <v:fill on="f" focussize="0,0"/>
              <v:stroke on="f"/>
              <v:imagedata o:title=""/>
              <o:lock v:ext="edit" aspectratio="f"/>
              <v:textbox inset="0mm,0mm,0mm,0mm">
                <w:txbxContent>
                  <w:p>
                    <w:pPr>
                      <w:spacing w:line="203" w:lineRule="exact"/>
                      <w:rPr>
                        <w:rFonts w:ascii="Calibri"/>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52</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14" name="文本框 1035"/>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rPr>
                              <w:rFonts w:ascii="Calibri"/>
                              <w:sz w:val="18"/>
                            </w:rPr>
                          </w:pPr>
                        </w:p>
                      </w:txbxContent>
                    </wps:txbx>
                    <wps:bodyPr lIns="0" tIns="0" rIns="0" bIns="0" upright="1"/>
                  </wps:wsp>
                </a:graphicData>
              </a:graphic>
            </wp:anchor>
          </w:drawing>
        </mc:Choice>
        <mc:Fallback>
          <w:pict>
            <v:shape id="文本框 1035" o:spid="_x0000_s1026" o:spt="202" type="#_x0000_t202" style="position:absolute;left:0pt;margin-left:300.5pt;margin-top:734.95pt;height:11pt;width:11.15pt;mso-position-horizontal-relative:page;mso-position-vertical-relative:page;z-index:-251654144;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bJCh9oAAAANAQAADwAAAAAAAAABACAAAAAiAAAAZHJzL2Rvd25yZXYueG1s&#10;UEsBAhQAFAAAAAgAh07iQHOcM9O9AQAAdQMAAA4AAAAAAAAAAQAgAAAAKQEAAGRycy9lMm9Eb2Mu&#10;eG1sUEsFBgAAAAAGAAYAWQEAAFgFAAAAAA==&#10;">
              <v:fill on="f" focussize="0,0"/>
              <v:stroke on="f"/>
              <v:imagedata o:title=""/>
              <o:lock v:ext="edit" aspectratio="f"/>
              <v:textbox inset="0mm,0mm,0mm,0mm">
                <w:txbxContent>
                  <w:p>
                    <w:pPr>
                      <w:spacing w:line="203" w:lineRule="exact"/>
                      <w:rPr>
                        <w:rFonts w:ascii="Calibri"/>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ind w:left="1191" w:hanging="1191"/>
      <w:jc w:val="both"/>
      <w:textAlignment w:val="baseline"/>
      <w:rPr>
        <w:rFonts w:hAnsi="Times New Roman" w:cs="Times New Roman"/>
        <w:kern w:val="2"/>
        <w:sz w:val="18"/>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FC973"/>
    <w:multiLevelType w:val="singleLevel"/>
    <w:tmpl w:val="B32FC973"/>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19"/>
  <w:drawingGridHorizontalSpacing w:val="0"/>
  <w:displayHorizontalDrawingGridEvery w:val="1"/>
  <w:displayVerticalDrawingGridEvery w:val="1"/>
  <w:noPunctuationKerning w:val="1"/>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0MWFhMmIyNTE3MDllN2U2YzkxNjk1YzVjNjVkNTcifQ=="/>
    <w:docVar w:name="KSO_WPS_MARK_KEY" w:val="180d9ffe-375c-471d-903a-41b6c72eca3d"/>
  </w:docVars>
  <w:rsids>
    <w:rsidRoot w:val="00172A27"/>
    <w:rsid w:val="00001E0F"/>
    <w:rsid w:val="00001F71"/>
    <w:rsid w:val="000022E9"/>
    <w:rsid w:val="00002AD2"/>
    <w:rsid w:val="00005D73"/>
    <w:rsid w:val="00007752"/>
    <w:rsid w:val="0000799C"/>
    <w:rsid w:val="00007D4F"/>
    <w:rsid w:val="00011BB6"/>
    <w:rsid w:val="00012653"/>
    <w:rsid w:val="000171C2"/>
    <w:rsid w:val="0002410C"/>
    <w:rsid w:val="00035F6A"/>
    <w:rsid w:val="000366CC"/>
    <w:rsid w:val="000367AC"/>
    <w:rsid w:val="000400A4"/>
    <w:rsid w:val="00042755"/>
    <w:rsid w:val="00046128"/>
    <w:rsid w:val="00054887"/>
    <w:rsid w:val="000552FE"/>
    <w:rsid w:val="000578EE"/>
    <w:rsid w:val="00061853"/>
    <w:rsid w:val="000639E1"/>
    <w:rsid w:val="00064975"/>
    <w:rsid w:val="00065840"/>
    <w:rsid w:val="00071E17"/>
    <w:rsid w:val="000736EA"/>
    <w:rsid w:val="00084861"/>
    <w:rsid w:val="00086C3F"/>
    <w:rsid w:val="000878A3"/>
    <w:rsid w:val="000910F1"/>
    <w:rsid w:val="00091ECC"/>
    <w:rsid w:val="0009419A"/>
    <w:rsid w:val="00096678"/>
    <w:rsid w:val="00096810"/>
    <w:rsid w:val="000A0FEA"/>
    <w:rsid w:val="000A1032"/>
    <w:rsid w:val="000A2D3C"/>
    <w:rsid w:val="000A2FAE"/>
    <w:rsid w:val="000A4431"/>
    <w:rsid w:val="000A4903"/>
    <w:rsid w:val="000B0050"/>
    <w:rsid w:val="000B23C1"/>
    <w:rsid w:val="000B4DA9"/>
    <w:rsid w:val="000B4FA4"/>
    <w:rsid w:val="000B6331"/>
    <w:rsid w:val="000C78D5"/>
    <w:rsid w:val="000D09FF"/>
    <w:rsid w:val="000D0C4D"/>
    <w:rsid w:val="000D202E"/>
    <w:rsid w:val="000D72B4"/>
    <w:rsid w:val="000E07DE"/>
    <w:rsid w:val="000E5A7A"/>
    <w:rsid w:val="000F144C"/>
    <w:rsid w:val="000F181D"/>
    <w:rsid w:val="000F4C77"/>
    <w:rsid w:val="0010071C"/>
    <w:rsid w:val="00100867"/>
    <w:rsid w:val="00102086"/>
    <w:rsid w:val="00103BD5"/>
    <w:rsid w:val="001052CC"/>
    <w:rsid w:val="001052FA"/>
    <w:rsid w:val="00107792"/>
    <w:rsid w:val="00111DDA"/>
    <w:rsid w:val="00112574"/>
    <w:rsid w:val="00113C0F"/>
    <w:rsid w:val="00114B02"/>
    <w:rsid w:val="00116F86"/>
    <w:rsid w:val="00120332"/>
    <w:rsid w:val="00120C90"/>
    <w:rsid w:val="001224CC"/>
    <w:rsid w:val="001239F1"/>
    <w:rsid w:val="001268C2"/>
    <w:rsid w:val="001276B3"/>
    <w:rsid w:val="00131649"/>
    <w:rsid w:val="00137692"/>
    <w:rsid w:val="001401C1"/>
    <w:rsid w:val="00140CEC"/>
    <w:rsid w:val="0014143F"/>
    <w:rsid w:val="00143FD7"/>
    <w:rsid w:val="001448A3"/>
    <w:rsid w:val="00145FCF"/>
    <w:rsid w:val="00147A77"/>
    <w:rsid w:val="001526C0"/>
    <w:rsid w:val="00155BD8"/>
    <w:rsid w:val="00162B3E"/>
    <w:rsid w:val="00163AF1"/>
    <w:rsid w:val="00170909"/>
    <w:rsid w:val="00171AFE"/>
    <w:rsid w:val="00172A27"/>
    <w:rsid w:val="001765DE"/>
    <w:rsid w:val="00180B64"/>
    <w:rsid w:val="001868D6"/>
    <w:rsid w:val="0018774E"/>
    <w:rsid w:val="0019364E"/>
    <w:rsid w:val="00194B45"/>
    <w:rsid w:val="001A2A7D"/>
    <w:rsid w:val="001A315E"/>
    <w:rsid w:val="001A408B"/>
    <w:rsid w:val="001B0BC3"/>
    <w:rsid w:val="001B127A"/>
    <w:rsid w:val="001B46A1"/>
    <w:rsid w:val="001B6EDE"/>
    <w:rsid w:val="001C1BD8"/>
    <w:rsid w:val="001C2BA3"/>
    <w:rsid w:val="001C444B"/>
    <w:rsid w:val="001D15B4"/>
    <w:rsid w:val="001D196E"/>
    <w:rsid w:val="001D79E6"/>
    <w:rsid w:val="001E0EF2"/>
    <w:rsid w:val="001E0F1E"/>
    <w:rsid w:val="001F3FB7"/>
    <w:rsid w:val="002065B1"/>
    <w:rsid w:val="002073F8"/>
    <w:rsid w:val="00213F99"/>
    <w:rsid w:val="002141F3"/>
    <w:rsid w:val="00215493"/>
    <w:rsid w:val="00215746"/>
    <w:rsid w:val="00215D22"/>
    <w:rsid w:val="00223EF6"/>
    <w:rsid w:val="00224384"/>
    <w:rsid w:val="00224A60"/>
    <w:rsid w:val="00226E0B"/>
    <w:rsid w:val="00227D84"/>
    <w:rsid w:val="002319DB"/>
    <w:rsid w:val="00233193"/>
    <w:rsid w:val="00237261"/>
    <w:rsid w:val="002407E2"/>
    <w:rsid w:val="0024460A"/>
    <w:rsid w:val="002558F8"/>
    <w:rsid w:val="00255905"/>
    <w:rsid w:val="002612C4"/>
    <w:rsid w:val="00262383"/>
    <w:rsid w:val="0026249B"/>
    <w:rsid w:val="002645D7"/>
    <w:rsid w:val="002778DA"/>
    <w:rsid w:val="00277BDF"/>
    <w:rsid w:val="00281ED6"/>
    <w:rsid w:val="002857BA"/>
    <w:rsid w:val="00290EB6"/>
    <w:rsid w:val="002A0A5B"/>
    <w:rsid w:val="002A27AC"/>
    <w:rsid w:val="002A2AF1"/>
    <w:rsid w:val="002A308A"/>
    <w:rsid w:val="002A3C39"/>
    <w:rsid w:val="002A73ED"/>
    <w:rsid w:val="002A762D"/>
    <w:rsid w:val="002C09B4"/>
    <w:rsid w:val="002C20A9"/>
    <w:rsid w:val="002C2B81"/>
    <w:rsid w:val="002C6741"/>
    <w:rsid w:val="002C79A6"/>
    <w:rsid w:val="002D2D0C"/>
    <w:rsid w:val="002D4466"/>
    <w:rsid w:val="002E4E0D"/>
    <w:rsid w:val="002E79D3"/>
    <w:rsid w:val="002F0EE0"/>
    <w:rsid w:val="002F4BF5"/>
    <w:rsid w:val="002F6AB9"/>
    <w:rsid w:val="0030529C"/>
    <w:rsid w:val="003127DD"/>
    <w:rsid w:val="00313429"/>
    <w:rsid w:val="00313F23"/>
    <w:rsid w:val="00314582"/>
    <w:rsid w:val="0031727A"/>
    <w:rsid w:val="00325102"/>
    <w:rsid w:val="003328B4"/>
    <w:rsid w:val="0034116F"/>
    <w:rsid w:val="00342E3C"/>
    <w:rsid w:val="00344EEC"/>
    <w:rsid w:val="00345FC7"/>
    <w:rsid w:val="0035074F"/>
    <w:rsid w:val="0035125B"/>
    <w:rsid w:val="003551F6"/>
    <w:rsid w:val="00357A3B"/>
    <w:rsid w:val="00357D10"/>
    <w:rsid w:val="00361B83"/>
    <w:rsid w:val="00361FE0"/>
    <w:rsid w:val="00363326"/>
    <w:rsid w:val="003660DE"/>
    <w:rsid w:val="00366489"/>
    <w:rsid w:val="00376CC4"/>
    <w:rsid w:val="003823F0"/>
    <w:rsid w:val="00385ED0"/>
    <w:rsid w:val="00390267"/>
    <w:rsid w:val="0039617A"/>
    <w:rsid w:val="00396867"/>
    <w:rsid w:val="003A76DA"/>
    <w:rsid w:val="003A7BA6"/>
    <w:rsid w:val="003B40F5"/>
    <w:rsid w:val="003B451E"/>
    <w:rsid w:val="003B74D7"/>
    <w:rsid w:val="003C0D68"/>
    <w:rsid w:val="003C39CF"/>
    <w:rsid w:val="003C64AB"/>
    <w:rsid w:val="003D2196"/>
    <w:rsid w:val="003D3A5D"/>
    <w:rsid w:val="003D48CE"/>
    <w:rsid w:val="003D73E4"/>
    <w:rsid w:val="003D754B"/>
    <w:rsid w:val="003E1C66"/>
    <w:rsid w:val="003E3E96"/>
    <w:rsid w:val="003E3EFB"/>
    <w:rsid w:val="003E5431"/>
    <w:rsid w:val="003E5DF5"/>
    <w:rsid w:val="003F19A8"/>
    <w:rsid w:val="003F2862"/>
    <w:rsid w:val="003F33C0"/>
    <w:rsid w:val="00400CF3"/>
    <w:rsid w:val="00402296"/>
    <w:rsid w:val="00402762"/>
    <w:rsid w:val="004031E7"/>
    <w:rsid w:val="00403FCD"/>
    <w:rsid w:val="004154F7"/>
    <w:rsid w:val="00417297"/>
    <w:rsid w:val="004218E1"/>
    <w:rsid w:val="0042625B"/>
    <w:rsid w:val="00427565"/>
    <w:rsid w:val="004303B3"/>
    <w:rsid w:val="00432BEC"/>
    <w:rsid w:val="004367C1"/>
    <w:rsid w:val="0044142A"/>
    <w:rsid w:val="00441795"/>
    <w:rsid w:val="00442197"/>
    <w:rsid w:val="00443612"/>
    <w:rsid w:val="00445773"/>
    <w:rsid w:val="00451C2D"/>
    <w:rsid w:val="0045304E"/>
    <w:rsid w:val="00453573"/>
    <w:rsid w:val="004559E6"/>
    <w:rsid w:val="0045613B"/>
    <w:rsid w:val="004610F1"/>
    <w:rsid w:val="00463056"/>
    <w:rsid w:val="00463B33"/>
    <w:rsid w:val="00464BD6"/>
    <w:rsid w:val="00466398"/>
    <w:rsid w:val="00470EB3"/>
    <w:rsid w:val="00472E38"/>
    <w:rsid w:val="00474406"/>
    <w:rsid w:val="00476507"/>
    <w:rsid w:val="004768DC"/>
    <w:rsid w:val="004824D7"/>
    <w:rsid w:val="00483458"/>
    <w:rsid w:val="00486719"/>
    <w:rsid w:val="00487062"/>
    <w:rsid w:val="00492780"/>
    <w:rsid w:val="00493252"/>
    <w:rsid w:val="00493DF7"/>
    <w:rsid w:val="004959F3"/>
    <w:rsid w:val="00495B14"/>
    <w:rsid w:val="00496399"/>
    <w:rsid w:val="00497AB2"/>
    <w:rsid w:val="004A0670"/>
    <w:rsid w:val="004A766D"/>
    <w:rsid w:val="004A7F57"/>
    <w:rsid w:val="004B009D"/>
    <w:rsid w:val="004B1F61"/>
    <w:rsid w:val="004B2D9F"/>
    <w:rsid w:val="004C2949"/>
    <w:rsid w:val="004C2A27"/>
    <w:rsid w:val="004C584D"/>
    <w:rsid w:val="004D0E1C"/>
    <w:rsid w:val="004D1ECF"/>
    <w:rsid w:val="004D27E9"/>
    <w:rsid w:val="004D2E34"/>
    <w:rsid w:val="004D4681"/>
    <w:rsid w:val="004D4B8A"/>
    <w:rsid w:val="004D6571"/>
    <w:rsid w:val="004D66C2"/>
    <w:rsid w:val="004E3A96"/>
    <w:rsid w:val="004F1EBC"/>
    <w:rsid w:val="004F7CF5"/>
    <w:rsid w:val="005013A1"/>
    <w:rsid w:val="00506A0A"/>
    <w:rsid w:val="005070BF"/>
    <w:rsid w:val="00507D9C"/>
    <w:rsid w:val="00511B15"/>
    <w:rsid w:val="00513498"/>
    <w:rsid w:val="00515539"/>
    <w:rsid w:val="0052244B"/>
    <w:rsid w:val="00522BEF"/>
    <w:rsid w:val="005273EF"/>
    <w:rsid w:val="0053002E"/>
    <w:rsid w:val="005311E2"/>
    <w:rsid w:val="00531E8A"/>
    <w:rsid w:val="005329E8"/>
    <w:rsid w:val="00532B0C"/>
    <w:rsid w:val="00533D96"/>
    <w:rsid w:val="00534F43"/>
    <w:rsid w:val="0053707B"/>
    <w:rsid w:val="0054686D"/>
    <w:rsid w:val="00546FFE"/>
    <w:rsid w:val="0055462A"/>
    <w:rsid w:val="00556021"/>
    <w:rsid w:val="005573FB"/>
    <w:rsid w:val="00566C1F"/>
    <w:rsid w:val="00571F7B"/>
    <w:rsid w:val="00585B54"/>
    <w:rsid w:val="00586B07"/>
    <w:rsid w:val="0058796B"/>
    <w:rsid w:val="00593D3B"/>
    <w:rsid w:val="00595B62"/>
    <w:rsid w:val="005A0E1C"/>
    <w:rsid w:val="005A3E67"/>
    <w:rsid w:val="005A7098"/>
    <w:rsid w:val="005A7341"/>
    <w:rsid w:val="005B4428"/>
    <w:rsid w:val="005B746E"/>
    <w:rsid w:val="005C0E4A"/>
    <w:rsid w:val="005C2D87"/>
    <w:rsid w:val="005C34D0"/>
    <w:rsid w:val="005C6F20"/>
    <w:rsid w:val="005C7183"/>
    <w:rsid w:val="005D22ED"/>
    <w:rsid w:val="005D448D"/>
    <w:rsid w:val="005D5C65"/>
    <w:rsid w:val="005E167B"/>
    <w:rsid w:val="005E56B3"/>
    <w:rsid w:val="005E6940"/>
    <w:rsid w:val="005F2116"/>
    <w:rsid w:val="005F5785"/>
    <w:rsid w:val="005F6828"/>
    <w:rsid w:val="005F7B00"/>
    <w:rsid w:val="006004A6"/>
    <w:rsid w:val="006006DC"/>
    <w:rsid w:val="0060135C"/>
    <w:rsid w:val="006030FF"/>
    <w:rsid w:val="0060584C"/>
    <w:rsid w:val="00613CDE"/>
    <w:rsid w:val="00613D86"/>
    <w:rsid w:val="00614F6E"/>
    <w:rsid w:val="0062016D"/>
    <w:rsid w:val="00620622"/>
    <w:rsid w:val="006218FC"/>
    <w:rsid w:val="006228C7"/>
    <w:rsid w:val="00622C06"/>
    <w:rsid w:val="00624C98"/>
    <w:rsid w:val="006268C4"/>
    <w:rsid w:val="00633CF9"/>
    <w:rsid w:val="006352D4"/>
    <w:rsid w:val="00635FD8"/>
    <w:rsid w:val="00637E64"/>
    <w:rsid w:val="00642F3D"/>
    <w:rsid w:val="0065056D"/>
    <w:rsid w:val="00652D51"/>
    <w:rsid w:val="00655074"/>
    <w:rsid w:val="00661F8B"/>
    <w:rsid w:val="00662D73"/>
    <w:rsid w:val="006748E6"/>
    <w:rsid w:val="00676154"/>
    <w:rsid w:val="00677166"/>
    <w:rsid w:val="00683B78"/>
    <w:rsid w:val="006858FC"/>
    <w:rsid w:val="00685D6C"/>
    <w:rsid w:val="00686665"/>
    <w:rsid w:val="0069182F"/>
    <w:rsid w:val="00696326"/>
    <w:rsid w:val="006A0A70"/>
    <w:rsid w:val="006A0D51"/>
    <w:rsid w:val="006A7DD6"/>
    <w:rsid w:val="006B3B72"/>
    <w:rsid w:val="006B5630"/>
    <w:rsid w:val="006C01D6"/>
    <w:rsid w:val="006C0FFB"/>
    <w:rsid w:val="006C34B4"/>
    <w:rsid w:val="006D5CEE"/>
    <w:rsid w:val="006D6153"/>
    <w:rsid w:val="006D7471"/>
    <w:rsid w:val="006D75C5"/>
    <w:rsid w:val="006E2FC7"/>
    <w:rsid w:val="006F52B6"/>
    <w:rsid w:val="00700086"/>
    <w:rsid w:val="00703267"/>
    <w:rsid w:val="0070574E"/>
    <w:rsid w:val="007058B5"/>
    <w:rsid w:val="00715C21"/>
    <w:rsid w:val="00715CC9"/>
    <w:rsid w:val="00716850"/>
    <w:rsid w:val="00717C8C"/>
    <w:rsid w:val="00721683"/>
    <w:rsid w:val="00722AA2"/>
    <w:rsid w:val="0072300A"/>
    <w:rsid w:val="00723474"/>
    <w:rsid w:val="00724A61"/>
    <w:rsid w:val="00724DA2"/>
    <w:rsid w:val="007261CA"/>
    <w:rsid w:val="00730994"/>
    <w:rsid w:val="00743102"/>
    <w:rsid w:val="00747982"/>
    <w:rsid w:val="00752A78"/>
    <w:rsid w:val="00752FEC"/>
    <w:rsid w:val="0075369E"/>
    <w:rsid w:val="0075592C"/>
    <w:rsid w:val="00761CCC"/>
    <w:rsid w:val="00762E77"/>
    <w:rsid w:val="007647FF"/>
    <w:rsid w:val="007657BA"/>
    <w:rsid w:val="00765B34"/>
    <w:rsid w:val="007700DC"/>
    <w:rsid w:val="00770B68"/>
    <w:rsid w:val="00775363"/>
    <w:rsid w:val="00777B99"/>
    <w:rsid w:val="0078499B"/>
    <w:rsid w:val="007911DF"/>
    <w:rsid w:val="007933FE"/>
    <w:rsid w:val="007A1AAA"/>
    <w:rsid w:val="007A3509"/>
    <w:rsid w:val="007A396C"/>
    <w:rsid w:val="007A495F"/>
    <w:rsid w:val="007A596B"/>
    <w:rsid w:val="007A5BEE"/>
    <w:rsid w:val="007A6247"/>
    <w:rsid w:val="007A779C"/>
    <w:rsid w:val="007B0A0A"/>
    <w:rsid w:val="007B0D57"/>
    <w:rsid w:val="007B19F9"/>
    <w:rsid w:val="007B1AAE"/>
    <w:rsid w:val="007B7376"/>
    <w:rsid w:val="007C0E6D"/>
    <w:rsid w:val="007C2A42"/>
    <w:rsid w:val="007C39E3"/>
    <w:rsid w:val="007C3D76"/>
    <w:rsid w:val="007C4A2E"/>
    <w:rsid w:val="007C6B45"/>
    <w:rsid w:val="007C7120"/>
    <w:rsid w:val="007D0189"/>
    <w:rsid w:val="007D1459"/>
    <w:rsid w:val="007D267F"/>
    <w:rsid w:val="007D298A"/>
    <w:rsid w:val="007D641E"/>
    <w:rsid w:val="007E1742"/>
    <w:rsid w:val="007E5D0A"/>
    <w:rsid w:val="007E5D5E"/>
    <w:rsid w:val="007E78DD"/>
    <w:rsid w:val="007F174C"/>
    <w:rsid w:val="007F6B23"/>
    <w:rsid w:val="007F732D"/>
    <w:rsid w:val="00800101"/>
    <w:rsid w:val="0080039E"/>
    <w:rsid w:val="00805D59"/>
    <w:rsid w:val="008134DA"/>
    <w:rsid w:val="008149A2"/>
    <w:rsid w:val="00815BF7"/>
    <w:rsid w:val="008162B9"/>
    <w:rsid w:val="00820C15"/>
    <w:rsid w:val="00823891"/>
    <w:rsid w:val="008240AB"/>
    <w:rsid w:val="008307CC"/>
    <w:rsid w:val="0083102B"/>
    <w:rsid w:val="00837E16"/>
    <w:rsid w:val="008500CA"/>
    <w:rsid w:val="00850AEB"/>
    <w:rsid w:val="00851C6D"/>
    <w:rsid w:val="00852F99"/>
    <w:rsid w:val="00854361"/>
    <w:rsid w:val="008571B1"/>
    <w:rsid w:val="008607F8"/>
    <w:rsid w:val="00860D1B"/>
    <w:rsid w:val="00860E0F"/>
    <w:rsid w:val="0086198D"/>
    <w:rsid w:val="00861F74"/>
    <w:rsid w:val="00863C22"/>
    <w:rsid w:val="008668AB"/>
    <w:rsid w:val="00871419"/>
    <w:rsid w:val="00877BB7"/>
    <w:rsid w:val="00880860"/>
    <w:rsid w:val="0088401D"/>
    <w:rsid w:val="008878D1"/>
    <w:rsid w:val="008879CA"/>
    <w:rsid w:val="008A027A"/>
    <w:rsid w:val="008A0490"/>
    <w:rsid w:val="008B3DD6"/>
    <w:rsid w:val="008B4126"/>
    <w:rsid w:val="008B6A2D"/>
    <w:rsid w:val="008C37A2"/>
    <w:rsid w:val="008C46C9"/>
    <w:rsid w:val="008D5A64"/>
    <w:rsid w:val="008D6248"/>
    <w:rsid w:val="008E3119"/>
    <w:rsid w:val="008E4290"/>
    <w:rsid w:val="008E5921"/>
    <w:rsid w:val="008F4DEE"/>
    <w:rsid w:val="008F69B7"/>
    <w:rsid w:val="008F6E69"/>
    <w:rsid w:val="008F72B5"/>
    <w:rsid w:val="008F7A73"/>
    <w:rsid w:val="00900A00"/>
    <w:rsid w:val="00904D77"/>
    <w:rsid w:val="00907113"/>
    <w:rsid w:val="0091012C"/>
    <w:rsid w:val="00913E44"/>
    <w:rsid w:val="00915801"/>
    <w:rsid w:val="00920510"/>
    <w:rsid w:val="0092062E"/>
    <w:rsid w:val="00920751"/>
    <w:rsid w:val="009247D1"/>
    <w:rsid w:val="0092600B"/>
    <w:rsid w:val="009275DC"/>
    <w:rsid w:val="00932333"/>
    <w:rsid w:val="0093399C"/>
    <w:rsid w:val="00941194"/>
    <w:rsid w:val="00951459"/>
    <w:rsid w:val="0095291C"/>
    <w:rsid w:val="009541B5"/>
    <w:rsid w:val="00957C40"/>
    <w:rsid w:val="0096176C"/>
    <w:rsid w:val="009621C3"/>
    <w:rsid w:val="009621C4"/>
    <w:rsid w:val="0096231D"/>
    <w:rsid w:val="00964403"/>
    <w:rsid w:val="00966878"/>
    <w:rsid w:val="00966E51"/>
    <w:rsid w:val="009714A9"/>
    <w:rsid w:val="009737F4"/>
    <w:rsid w:val="00976698"/>
    <w:rsid w:val="0097685C"/>
    <w:rsid w:val="009835A1"/>
    <w:rsid w:val="00991588"/>
    <w:rsid w:val="009A4310"/>
    <w:rsid w:val="009B1E08"/>
    <w:rsid w:val="009B69F3"/>
    <w:rsid w:val="009B74A9"/>
    <w:rsid w:val="009C2284"/>
    <w:rsid w:val="009C4531"/>
    <w:rsid w:val="009C5B60"/>
    <w:rsid w:val="009C5B87"/>
    <w:rsid w:val="009C75AE"/>
    <w:rsid w:val="009D04D0"/>
    <w:rsid w:val="009D1459"/>
    <w:rsid w:val="009D20C1"/>
    <w:rsid w:val="009D4671"/>
    <w:rsid w:val="009F2F39"/>
    <w:rsid w:val="009F69E0"/>
    <w:rsid w:val="009F6DB3"/>
    <w:rsid w:val="009F6E54"/>
    <w:rsid w:val="009F7586"/>
    <w:rsid w:val="00A00C21"/>
    <w:rsid w:val="00A00D9B"/>
    <w:rsid w:val="00A010ED"/>
    <w:rsid w:val="00A04C61"/>
    <w:rsid w:val="00A04D1E"/>
    <w:rsid w:val="00A07685"/>
    <w:rsid w:val="00A079AD"/>
    <w:rsid w:val="00A12C0A"/>
    <w:rsid w:val="00A151F7"/>
    <w:rsid w:val="00A15C56"/>
    <w:rsid w:val="00A20934"/>
    <w:rsid w:val="00A223DC"/>
    <w:rsid w:val="00A22C16"/>
    <w:rsid w:val="00A22CC9"/>
    <w:rsid w:val="00A30A88"/>
    <w:rsid w:val="00A3136E"/>
    <w:rsid w:val="00A3273B"/>
    <w:rsid w:val="00A3289B"/>
    <w:rsid w:val="00A41BC0"/>
    <w:rsid w:val="00A51521"/>
    <w:rsid w:val="00A5420E"/>
    <w:rsid w:val="00A54B0F"/>
    <w:rsid w:val="00A553D9"/>
    <w:rsid w:val="00A56C42"/>
    <w:rsid w:val="00A5712A"/>
    <w:rsid w:val="00A62E3D"/>
    <w:rsid w:val="00A63510"/>
    <w:rsid w:val="00A63586"/>
    <w:rsid w:val="00A66BA7"/>
    <w:rsid w:val="00A67CDF"/>
    <w:rsid w:val="00A76F6D"/>
    <w:rsid w:val="00A8411F"/>
    <w:rsid w:val="00A84455"/>
    <w:rsid w:val="00A8475A"/>
    <w:rsid w:val="00A92054"/>
    <w:rsid w:val="00A94B24"/>
    <w:rsid w:val="00A94DBC"/>
    <w:rsid w:val="00A95A2C"/>
    <w:rsid w:val="00AA5E07"/>
    <w:rsid w:val="00AA6199"/>
    <w:rsid w:val="00AB0405"/>
    <w:rsid w:val="00AB0DE9"/>
    <w:rsid w:val="00AB465B"/>
    <w:rsid w:val="00AB55DE"/>
    <w:rsid w:val="00AB7A36"/>
    <w:rsid w:val="00AC182C"/>
    <w:rsid w:val="00AC35D9"/>
    <w:rsid w:val="00AC6B71"/>
    <w:rsid w:val="00AD07CA"/>
    <w:rsid w:val="00AD131B"/>
    <w:rsid w:val="00AD13CE"/>
    <w:rsid w:val="00AD50FA"/>
    <w:rsid w:val="00AD769A"/>
    <w:rsid w:val="00AE6122"/>
    <w:rsid w:val="00AE62ED"/>
    <w:rsid w:val="00AF14DA"/>
    <w:rsid w:val="00AF1824"/>
    <w:rsid w:val="00AF6D93"/>
    <w:rsid w:val="00AF6F8C"/>
    <w:rsid w:val="00AF711A"/>
    <w:rsid w:val="00B067B9"/>
    <w:rsid w:val="00B11598"/>
    <w:rsid w:val="00B11C8B"/>
    <w:rsid w:val="00B13533"/>
    <w:rsid w:val="00B17D7F"/>
    <w:rsid w:val="00B25AED"/>
    <w:rsid w:val="00B27828"/>
    <w:rsid w:val="00B32855"/>
    <w:rsid w:val="00B358B5"/>
    <w:rsid w:val="00B46C7B"/>
    <w:rsid w:val="00B5243C"/>
    <w:rsid w:val="00B54931"/>
    <w:rsid w:val="00B55EAD"/>
    <w:rsid w:val="00B57C51"/>
    <w:rsid w:val="00B613F7"/>
    <w:rsid w:val="00B644FA"/>
    <w:rsid w:val="00B66442"/>
    <w:rsid w:val="00B678F0"/>
    <w:rsid w:val="00B70AA4"/>
    <w:rsid w:val="00B72A56"/>
    <w:rsid w:val="00B73669"/>
    <w:rsid w:val="00B74930"/>
    <w:rsid w:val="00B75B2B"/>
    <w:rsid w:val="00B7713C"/>
    <w:rsid w:val="00B80CE2"/>
    <w:rsid w:val="00BA1113"/>
    <w:rsid w:val="00BA370A"/>
    <w:rsid w:val="00BA3C8F"/>
    <w:rsid w:val="00BA7B6E"/>
    <w:rsid w:val="00BB24FB"/>
    <w:rsid w:val="00BB3760"/>
    <w:rsid w:val="00BB4F4B"/>
    <w:rsid w:val="00BC04BD"/>
    <w:rsid w:val="00BC209F"/>
    <w:rsid w:val="00BC5EE3"/>
    <w:rsid w:val="00BE6918"/>
    <w:rsid w:val="00BE6DB1"/>
    <w:rsid w:val="00BF2958"/>
    <w:rsid w:val="00BF380E"/>
    <w:rsid w:val="00BF5390"/>
    <w:rsid w:val="00BF6AFC"/>
    <w:rsid w:val="00C00A57"/>
    <w:rsid w:val="00C02B65"/>
    <w:rsid w:val="00C0561A"/>
    <w:rsid w:val="00C0609C"/>
    <w:rsid w:val="00C16213"/>
    <w:rsid w:val="00C20678"/>
    <w:rsid w:val="00C23288"/>
    <w:rsid w:val="00C2434B"/>
    <w:rsid w:val="00C33790"/>
    <w:rsid w:val="00C37BC2"/>
    <w:rsid w:val="00C41E5B"/>
    <w:rsid w:val="00C42C2D"/>
    <w:rsid w:val="00C43A3E"/>
    <w:rsid w:val="00C43FE5"/>
    <w:rsid w:val="00C445CC"/>
    <w:rsid w:val="00C47323"/>
    <w:rsid w:val="00C55484"/>
    <w:rsid w:val="00C569C1"/>
    <w:rsid w:val="00C57D6E"/>
    <w:rsid w:val="00C64376"/>
    <w:rsid w:val="00C64864"/>
    <w:rsid w:val="00C64D1B"/>
    <w:rsid w:val="00C70E37"/>
    <w:rsid w:val="00C73E47"/>
    <w:rsid w:val="00C77778"/>
    <w:rsid w:val="00C800BA"/>
    <w:rsid w:val="00C86A02"/>
    <w:rsid w:val="00C87BAC"/>
    <w:rsid w:val="00C918D5"/>
    <w:rsid w:val="00C91B1B"/>
    <w:rsid w:val="00C93627"/>
    <w:rsid w:val="00C93F97"/>
    <w:rsid w:val="00C961E8"/>
    <w:rsid w:val="00CA0046"/>
    <w:rsid w:val="00CB20D0"/>
    <w:rsid w:val="00CB56BE"/>
    <w:rsid w:val="00CC06B4"/>
    <w:rsid w:val="00CC7B4C"/>
    <w:rsid w:val="00CD462C"/>
    <w:rsid w:val="00CD6C55"/>
    <w:rsid w:val="00CE288F"/>
    <w:rsid w:val="00CE57A4"/>
    <w:rsid w:val="00CE62C2"/>
    <w:rsid w:val="00CF0145"/>
    <w:rsid w:val="00CF19A0"/>
    <w:rsid w:val="00CF62F1"/>
    <w:rsid w:val="00CF708B"/>
    <w:rsid w:val="00D0212E"/>
    <w:rsid w:val="00D03B4C"/>
    <w:rsid w:val="00D03CFC"/>
    <w:rsid w:val="00D07FB2"/>
    <w:rsid w:val="00D12015"/>
    <w:rsid w:val="00D1460D"/>
    <w:rsid w:val="00D206DE"/>
    <w:rsid w:val="00D24030"/>
    <w:rsid w:val="00D323AF"/>
    <w:rsid w:val="00D331A2"/>
    <w:rsid w:val="00D33F52"/>
    <w:rsid w:val="00D3498D"/>
    <w:rsid w:val="00D36D39"/>
    <w:rsid w:val="00D4224C"/>
    <w:rsid w:val="00D42FB3"/>
    <w:rsid w:val="00D5017F"/>
    <w:rsid w:val="00D511B7"/>
    <w:rsid w:val="00D530AE"/>
    <w:rsid w:val="00D53438"/>
    <w:rsid w:val="00D56670"/>
    <w:rsid w:val="00D572D1"/>
    <w:rsid w:val="00D62FB2"/>
    <w:rsid w:val="00D63538"/>
    <w:rsid w:val="00D67E59"/>
    <w:rsid w:val="00D70348"/>
    <w:rsid w:val="00D70821"/>
    <w:rsid w:val="00D7218C"/>
    <w:rsid w:val="00D765BE"/>
    <w:rsid w:val="00D82373"/>
    <w:rsid w:val="00D83173"/>
    <w:rsid w:val="00D8383D"/>
    <w:rsid w:val="00D84C40"/>
    <w:rsid w:val="00D84C84"/>
    <w:rsid w:val="00D853D4"/>
    <w:rsid w:val="00D94469"/>
    <w:rsid w:val="00DA1619"/>
    <w:rsid w:val="00DA1A93"/>
    <w:rsid w:val="00DA2377"/>
    <w:rsid w:val="00DA247F"/>
    <w:rsid w:val="00DA4966"/>
    <w:rsid w:val="00DA6732"/>
    <w:rsid w:val="00DA6EF7"/>
    <w:rsid w:val="00DB0766"/>
    <w:rsid w:val="00DB2DBA"/>
    <w:rsid w:val="00DB31C0"/>
    <w:rsid w:val="00DB3BBE"/>
    <w:rsid w:val="00DB4372"/>
    <w:rsid w:val="00DB6681"/>
    <w:rsid w:val="00DC2A9D"/>
    <w:rsid w:val="00DC3113"/>
    <w:rsid w:val="00DC7958"/>
    <w:rsid w:val="00DC7D8E"/>
    <w:rsid w:val="00DD7D76"/>
    <w:rsid w:val="00DE3B48"/>
    <w:rsid w:val="00DE3E3B"/>
    <w:rsid w:val="00DE4065"/>
    <w:rsid w:val="00DE76E2"/>
    <w:rsid w:val="00DE7717"/>
    <w:rsid w:val="00DF4FE9"/>
    <w:rsid w:val="00DF6196"/>
    <w:rsid w:val="00E000C2"/>
    <w:rsid w:val="00E00985"/>
    <w:rsid w:val="00E03129"/>
    <w:rsid w:val="00E05803"/>
    <w:rsid w:val="00E05EBB"/>
    <w:rsid w:val="00E1187A"/>
    <w:rsid w:val="00E12441"/>
    <w:rsid w:val="00E13ECC"/>
    <w:rsid w:val="00E15755"/>
    <w:rsid w:val="00E15EA0"/>
    <w:rsid w:val="00E25ADF"/>
    <w:rsid w:val="00E34079"/>
    <w:rsid w:val="00E40DF7"/>
    <w:rsid w:val="00E56479"/>
    <w:rsid w:val="00E626BC"/>
    <w:rsid w:val="00E6348A"/>
    <w:rsid w:val="00E64ADD"/>
    <w:rsid w:val="00E67657"/>
    <w:rsid w:val="00E714FB"/>
    <w:rsid w:val="00E72544"/>
    <w:rsid w:val="00E72D6D"/>
    <w:rsid w:val="00E74EF9"/>
    <w:rsid w:val="00E75933"/>
    <w:rsid w:val="00E776E0"/>
    <w:rsid w:val="00E8133A"/>
    <w:rsid w:val="00E81C62"/>
    <w:rsid w:val="00E82032"/>
    <w:rsid w:val="00E828BB"/>
    <w:rsid w:val="00E8602E"/>
    <w:rsid w:val="00E8733D"/>
    <w:rsid w:val="00E94007"/>
    <w:rsid w:val="00E971AD"/>
    <w:rsid w:val="00EA163C"/>
    <w:rsid w:val="00EA2006"/>
    <w:rsid w:val="00EA4E1A"/>
    <w:rsid w:val="00EB1C05"/>
    <w:rsid w:val="00EB5D09"/>
    <w:rsid w:val="00EB648A"/>
    <w:rsid w:val="00EC226F"/>
    <w:rsid w:val="00EC2C8B"/>
    <w:rsid w:val="00EC43CD"/>
    <w:rsid w:val="00EC5DE1"/>
    <w:rsid w:val="00EC65BA"/>
    <w:rsid w:val="00EC72E2"/>
    <w:rsid w:val="00EC7E88"/>
    <w:rsid w:val="00ED2BDE"/>
    <w:rsid w:val="00ED408B"/>
    <w:rsid w:val="00ED4D05"/>
    <w:rsid w:val="00ED576E"/>
    <w:rsid w:val="00EE0745"/>
    <w:rsid w:val="00EE140A"/>
    <w:rsid w:val="00EE6E2A"/>
    <w:rsid w:val="00EF2365"/>
    <w:rsid w:val="00EF2A04"/>
    <w:rsid w:val="00EF78F8"/>
    <w:rsid w:val="00F06319"/>
    <w:rsid w:val="00F10520"/>
    <w:rsid w:val="00F11183"/>
    <w:rsid w:val="00F117C5"/>
    <w:rsid w:val="00F1214B"/>
    <w:rsid w:val="00F12EF3"/>
    <w:rsid w:val="00F13FCD"/>
    <w:rsid w:val="00F15BEB"/>
    <w:rsid w:val="00F15FE6"/>
    <w:rsid w:val="00F16713"/>
    <w:rsid w:val="00F20C22"/>
    <w:rsid w:val="00F2433D"/>
    <w:rsid w:val="00F319C9"/>
    <w:rsid w:val="00F34568"/>
    <w:rsid w:val="00F34B74"/>
    <w:rsid w:val="00F40B7E"/>
    <w:rsid w:val="00F40DE3"/>
    <w:rsid w:val="00F426DE"/>
    <w:rsid w:val="00F42FB8"/>
    <w:rsid w:val="00F44510"/>
    <w:rsid w:val="00F50102"/>
    <w:rsid w:val="00F51D7C"/>
    <w:rsid w:val="00F55A70"/>
    <w:rsid w:val="00F60E2B"/>
    <w:rsid w:val="00F610AC"/>
    <w:rsid w:val="00F6299C"/>
    <w:rsid w:val="00F6720B"/>
    <w:rsid w:val="00F676AC"/>
    <w:rsid w:val="00F7017A"/>
    <w:rsid w:val="00F7058D"/>
    <w:rsid w:val="00F73611"/>
    <w:rsid w:val="00F758FF"/>
    <w:rsid w:val="00F77654"/>
    <w:rsid w:val="00F82E43"/>
    <w:rsid w:val="00F83346"/>
    <w:rsid w:val="00F84920"/>
    <w:rsid w:val="00F84ACC"/>
    <w:rsid w:val="00F85544"/>
    <w:rsid w:val="00F85AF4"/>
    <w:rsid w:val="00F908DB"/>
    <w:rsid w:val="00F9179D"/>
    <w:rsid w:val="00F94412"/>
    <w:rsid w:val="00F95801"/>
    <w:rsid w:val="00F95E03"/>
    <w:rsid w:val="00F97B7B"/>
    <w:rsid w:val="00FA364B"/>
    <w:rsid w:val="00FB02FE"/>
    <w:rsid w:val="00FB1F98"/>
    <w:rsid w:val="00FB5027"/>
    <w:rsid w:val="00FB5BFB"/>
    <w:rsid w:val="00FB6917"/>
    <w:rsid w:val="00FB6F4F"/>
    <w:rsid w:val="00FC33C7"/>
    <w:rsid w:val="00FC3750"/>
    <w:rsid w:val="00FC3DEB"/>
    <w:rsid w:val="00FC42AE"/>
    <w:rsid w:val="00FC4D51"/>
    <w:rsid w:val="00FD0D64"/>
    <w:rsid w:val="00FD4488"/>
    <w:rsid w:val="00FD5652"/>
    <w:rsid w:val="00FD59FF"/>
    <w:rsid w:val="00FD7CEF"/>
    <w:rsid w:val="00FE2CC8"/>
    <w:rsid w:val="00FE3879"/>
    <w:rsid w:val="00FE595C"/>
    <w:rsid w:val="00FF0BBA"/>
    <w:rsid w:val="00FF57F0"/>
    <w:rsid w:val="00FF73E9"/>
    <w:rsid w:val="00FF7A88"/>
    <w:rsid w:val="011D0627"/>
    <w:rsid w:val="016C43CA"/>
    <w:rsid w:val="01857DCB"/>
    <w:rsid w:val="019044AD"/>
    <w:rsid w:val="019C7169"/>
    <w:rsid w:val="01A74229"/>
    <w:rsid w:val="01A96456"/>
    <w:rsid w:val="01B007E6"/>
    <w:rsid w:val="01BA49FA"/>
    <w:rsid w:val="01E60991"/>
    <w:rsid w:val="021028BE"/>
    <w:rsid w:val="02344060"/>
    <w:rsid w:val="0269383D"/>
    <w:rsid w:val="02D74B40"/>
    <w:rsid w:val="02E13B7D"/>
    <w:rsid w:val="035758C7"/>
    <w:rsid w:val="03950B58"/>
    <w:rsid w:val="03A760BD"/>
    <w:rsid w:val="03B52A0F"/>
    <w:rsid w:val="040D2436"/>
    <w:rsid w:val="041429CD"/>
    <w:rsid w:val="043B5EFA"/>
    <w:rsid w:val="0444348D"/>
    <w:rsid w:val="046F6A40"/>
    <w:rsid w:val="0471473D"/>
    <w:rsid w:val="04917C30"/>
    <w:rsid w:val="049619C2"/>
    <w:rsid w:val="04B9247C"/>
    <w:rsid w:val="04F11E8A"/>
    <w:rsid w:val="051972D4"/>
    <w:rsid w:val="051F2989"/>
    <w:rsid w:val="05213C40"/>
    <w:rsid w:val="05233E26"/>
    <w:rsid w:val="05246528"/>
    <w:rsid w:val="05386E0D"/>
    <w:rsid w:val="053D0AC4"/>
    <w:rsid w:val="05555A24"/>
    <w:rsid w:val="05907EAA"/>
    <w:rsid w:val="059826A3"/>
    <w:rsid w:val="05EB22F9"/>
    <w:rsid w:val="05FC635A"/>
    <w:rsid w:val="060D5949"/>
    <w:rsid w:val="060E4E01"/>
    <w:rsid w:val="064450FE"/>
    <w:rsid w:val="06457696"/>
    <w:rsid w:val="06863A66"/>
    <w:rsid w:val="06A217D1"/>
    <w:rsid w:val="06CE4EA3"/>
    <w:rsid w:val="06E22660"/>
    <w:rsid w:val="06E6777F"/>
    <w:rsid w:val="06E94E09"/>
    <w:rsid w:val="06FC2DC7"/>
    <w:rsid w:val="070B6F69"/>
    <w:rsid w:val="0735383B"/>
    <w:rsid w:val="075A33E2"/>
    <w:rsid w:val="07B05A6B"/>
    <w:rsid w:val="07B96718"/>
    <w:rsid w:val="07F62C92"/>
    <w:rsid w:val="08084C25"/>
    <w:rsid w:val="08152AED"/>
    <w:rsid w:val="081C5A6B"/>
    <w:rsid w:val="08362954"/>
    <w:rsid w:val="08615856"/>
    <w:rsid w:val="088D0A93"/>
    <w:rsid w:val="08B06EAE"/>
    <w:rsid w:val="08B20D41"/>
    <w:rsid w:val="08BE1FCA"/>
    <w:rsid w:val="08F22BA8"/>
    <w:rsid w:val="090C0C3C"/>
    <w:rsid w:val="0930064D"/>
    <w:rsid w:val="093847C9"/>
    <w:rsid w:val="09507321"/>
    <w:rsid w:val="09923FDC"/>
    <w:rsid w:val="09BD29D5"/>
    <w:rsid w:val="09C421FB"/>
    <w:rsid w:val="09CD2707"/>
    <w:rsid w:val="09E83D69"/>
    <w:rsid w:val="0A046ACF"/>
    <w:rsid w:val="0A38307D"/>
    <w:rsid w:val="0A4D60BD"/>
    <w:rsid w:val="0A620AEB"/>
    <w:rsid w:val="0A6F1270"/>
    <w:rsid w:val="0A74103E"/>
    <w:rsid w:val="0A822F6F"/>
    <w:rsid w:val="0A827BF1"/>
    <w:rsid w:val="0A9844EA"/>
    <w:rsid w:val="0AA42BCD"/>
    <w:rsid w:val="0AAC38AD"/>
    <w:rsid w:val="0AC27B25"/>
    <w:rsid w:val="0AC452B2"/>
    <w:rsid w:val="0ADE716E"/>
    <w:rsid w:val="0B1B1746"/>
    <w:rsid w:val="0B213286"/>
    <w:rsid w:val="0B266D32"/>
    <w:rsid w:val="0B410D8C"/>
    <w:rsid w:val="0B6A4551"/>
    <w:rsid w:val="0B7673EB"/>
    <w:rsid w:val="0BC12495"/>
    <w:rsid w:val="0BC41ED8"/>
    <w:rsid w:val="0BD45CB8"/>
    <w:rsid w:val="0BEE61E1"/>
    <w:rsid w:val="0C234952"/>
    <w:rsid w:val="0C57781D"/>
    <w:rsid w:val="0C6209C6"/>
    <w:rsid w:val="0C657F3A"/>
    <w:rsid w:val="0C695A48"/>
    <w:rsid w:val="0C7D65E5"/>
    <w:rsid w:val="0C807692"/>
    <w:rsid w:val="0C9B707D"/>
    <w:rsid w:val="0CA168DF"/>
    <w:rsid w:val="0CA20065"/>
    <w:rsid w:val="0CBC0FC0"/>
    <w:rsid w:val="0CCF35C8"/>
    <w:rsid w:val="0CD04DE4"/>
    <w:rsid w:val="0CDA65CA"/>
    <w:rsid w:val="0D057967"/>
    <w:rsid w:val="0DA13549"/>
    <w:rsid w:val="0DAB2051"/>
    <w:rsid w:val="0DB77A48"/>
    <w:rsid w:val="0E282F77"/>
    <w:rsid w:val="0E3114F3"/>
    <w:rsid w:val="0E347DC2"/>
    <w:rsid w:val="0E5A06A6"/>
    <w:rsid w:val="0E7A2184"/>
    <w:rsid w:val="0E841FE9"/>
    <w:rsid w:val="0E9A0589"/>
    <w:rsid w:val="0EA62097"/>
    <w:rsid w:val="0EAA6C6E"/>
    <w:rsid w:val="0F197DE8"/>
    <w:rsid w:val="0F49772F"/>
    <w:rsid w:val="0F4A2DD6"/>
    <w:rsid w:val="0F526BA9"/>
    <w:rsid w:val="0F5361C8"/>
    <w:rsid w:val="0F5D3092"/>
    <w:rsid w:val="0F61172B"/>
    <w:rsid w:val="0F756746"/>
    <w:rsid w:val="0F791F19"/>
    <w:rsid w:val="0F7B18EC"/>
    <w:rsid w:val="0F7B2E87"/>
    <w:rsid w:val="0F8C0AA2"/>
    <w:rsid w:val="0FA52C26"/>
    <w:rsid w:val="0FCD4C29"/>
    <w:rsid w:val="0FD4058D"/>
    <w:rsid w:val="0FF2457C"/>
    <w:rsid w:val="0FFE3777"/>
    <w:rsid w:val="10122B17"/>
    <w:rsid w:val="101603C4"/>
    <w:rsid w:val="103657F8"/>
    <w:rsid w:val="106D349D"/>
    <w:rsid w:val="10882C31"/>
    <w:rsid w:val="108D5D11"/>
    <w:rsid w:val="10A03661"/>
    <w:rsid w:val="10C21917"/>
    <w:rsid w:val="10CC4E7A"/>
    <w:rsid w:val="11317239"/>
    <w:rsid w:val="11374ED6"/>
    <w:rsid w:val="11964CC3"/>
    <w:rsid w:val="11AA31D6"/>
    <w:rsid w:val="11BA15E7"/>
    <w:rsid w:val="11C23D13"/>
    <w:rsid w:val="11C81C34"/>
    <w:rsid w:val="11FE5824"/>
    <w:rsid w:val="12037D7C"/>
    <w:rsid w:val="1232769D"/>
    <w:rsid w:val="124B029B"/>
    <w:rsid w:val="124E7C36"/>
    <w:rsid w:val="1269243C"/>
    <w:rsid w:val="126B25EB"/>
    <w:rsid w:val="126D47E3"/>
    <w:rsid w:val="127D4B2C"/>
    <w:rsid w:val="128163DB"/>
    <w:rsid w:val="12856A33"/>
    <w:rsid w:val="12AE1553"/>
    <w:rsid w:val="12B700D7"/>
    <w:rsid w:val="12CC7267"/>
    <w:rsid w:val="12F7670F"/>
    <w:rsid w:val="131C635C"/>
    <w:rsid w:val="133A1F99"/>
    <w:rsid w:val="134D3645"/>
    <w:rsid w:val="136012E3"/>
    <w:rsid w:val="13731108"/>
    <w:rsid w:val="137F1EE0"/>
    <w:rsid w:val="13913139"/>
    <w:rsid w:val="13ED5EA4"/>
    <w:rsid w:val="14376962"/>
    <w:rsid w:val="143951F9"/>
    <w:rsid w:val="14563B96"/>
    <w:rsid w:val="145D1AC1"/>
    <w:rsid w:val="146032B9"/>
    <w:rsid w:val="146C6D9F"/>
    <w:rsid w:val="14997ECE"/>
    <w:rsid w:val="14A00902"/>
    <w:rsid w:val="14B615E6"/>
    <w:rsid w:val="14BC0C06"/>
    <w:rsid w:val="14BD6831"/>
    <w:rsid w:val="14F94639"/>
    <w:rsid w:val="14FA6236"/>
    <w:rsid w:val="153E7411"/>
    <w:rsid w:val="15672187"/>
    <w:rsid w:val="15BC2FC6"/>
    <w:rsid w:val="15C43E26"/>
    <w:rsid w:val="15CC70C4"/>
    <w:rsid w:val="16007901"/>
    <w:rsid w:val="162A2F23"/>
    <w:rsid w:val="162B50B9"/>
    <w:rsid w:val="16436E3C"/>
    <w:rsid w:val="164B5D64"/>
    <w:rsid w:val="165415E3"/>
    <w:rsid w:val="167835C1"/>
    <w:rsid w:val="1684166E"/>
    <w:rsid w:val="16907A00"/>
    <w:rsid w:val="16A27BE4"/>
    <w:rsid w:val="16A36D04"/>
    <w:rsid w:val="16B246C3"/>
    <w:rsid w:val="16D03ADD"/>
    <w:rsid w:val="16D86371"/>
    <w:rsid w:val="16FB5B2D"/>
    <w:rsid w:val="16FF72C6"/>
    <w:rsid w:val="17166373"/>
    <w:rsid w:val="173D7819"/>
    <w:rsid w:val="173E3167"/>
    <w:rsid w:val="17504070"/>
    <w:rsid w:val="17553E05"/>
    <w:rsid w:val="175A740C"/>
    <w:rsid w:val="1776396F"/>
    <w:rsid w:val="17A35949"/>
    <w:rsid w:val="17AA31CD"/>
    <w:rsid w:val="17BF432E"/>
    <w:rsid w:val="17C81C82"/>
    <w:rsid w:val="17D42FA4"/>
    <w:rsid w:val="17E24990"/>
    <w:rsid w:val="17EA1169"/>
    <w:rsid w:val="17FA04FA"/>
    <w:rsid w:val="17FD103F"/>
    <w:rsid w:val="18293426"/>
    <w:rsid w:val="185377C8"/>
    <w:rsid w:val="185B6E7E"/>
    <w:rsid w:val="18653FBE"/>
    <w:rsid w:val="18675D3A"/>
    <w:rsid w:val="18B8753D"/>
    <w:rsid w:val="18BA482B"/>
    <w:rsid w:val="18CB0C0A"/>
    <w:rsid w:val="18F63516"/>
    <w:rsid w:val="192C77C8"/>
    <w:rsid w:val="192D317E"/>
    <w:rsid w:val="1964065C"/>
    <w:rsid w:val="196F6C40"/>
    <w:rsid w:val="19930CF3"/>
    <w:rsid w:val="19B61647"/>
    <w:rsid w:val="19B72777"/>
    <w:rsid w:val="19CD21C3"/>
    <w:rsid w:val="19DA538D"/>
    <w:rsid w:val="19E45A34"/>
    <w:rsid w:val="19E73F11"/>
    <w:rsid w:val="19E865CB"/>
    <w:rsid w:val="19EF094F"/>
    <w:rsid w:val="19FF35B1"/>
    <w:rsid w:val="1A0F57B0"/>
    <w:rsid w:val="1A18588D"/>
    <w:rsid w:val="1A1D1F09"/>
    <w:rsid w:val="1A291AE7"/>
    <w:rsid w:val="1A3475C2"/>
    <w:rsid w:val="1A3E2992"/>
    <w:rsid w:val="1A4B4AC1"/>
    <w:rsid w:val="1A6F4BE1"/>
    <w:rsid w:val="1A707D13"/>
    <w:rsid w:val="1AE35B01"/>
    <w:rsid w:val="1AF12BBE"/>
    <w:rsid w:val="1B0874C9"/>
    <w:rsid w:val="1B15525F"/>
    <w:rsid w:val="1BDA2D3F"/>
    <w:rsid w:val="1BF76BE1"/>
    <w:rsid w:val="1BF858BF"/>
    <w:rsid w:val="1C2C1F33"/>
    <w:rsid w:val="1C3C3370"/>
    <w:rsid w:val="1C4D0B6E"/>
    <w:rsid w:val="1C6C0267"/>
    <w:rsid w:val="1C6C631B"/>
    <w:rsid w:val="1C827473"/>
    <w:rsid w:val="1C8303BE"/>
    <w:rsid w:val="1CCC7DC1"/>
    <w:rsid w:val="1CD07E21"/>
    <w:rsid w:val="1CD52B97"/>
    <w:rsid w:val="1CE560AE"/>
    <w:rsid w:val="1D1734E0"/>
    <w:rsid w:val="1D221B2E"/>
    <w:rsid w:val="1D3F3A97"/>
    <w:rsid w:val="1D540473"/>
    <w:rsid w:val="1D91367F"/>
    <w:rsid w:val="1DBB16AC"/>
    <w:rsid w:val="1E19491E"/>
    <w:rsid w:val="1E25467E"/>
    <w:rsid w:val="1E294662"/>
    <w:rsid w:val="1E347E7E"/>
    <w:rsid w:val="1E4656D8"/>
    <w:rsid w:val="1E6A2C8A"/>
    <w:rsid w:val="1E821445"/>
    <w:rsid w:val="1E9A5FB8"/>
    <w:rsid w:val="1EAC0506"/>
    <w:rsid w:val="1EB04F39"/>
    <w:rsid w:val="1EB26BC8"/>
    <w:rsid w:val="1ECC1B3C"/>
    <w:rsid w:val="1ED74187"/>
    <w:rsid w:val="1EF33639"/>
    <w:rsid w:val="1F0408B3"/>
    <w:rsid w:val="1F3013F5"/>
    <w:rsid w:val="1F6A55A9"/>
    <w:rsid w:val="1FA22DB4"/>
    <w:rsid w:val="1FAD7C82"/>
    <w:rsid w:val="1FBF212D"/>
    <w:rsid w:val="1FD27999"/>
    <w:rsid w:val="1FD5432C"/>
    <w:rsid w:val="1FE802C4"/>
    <w:rsid w:val="1FF7076C"/>
    <w:rsid w:val="1FFC5E7B"/>
    <w:rsid w:val="2005341C"/>
    <w:rsid w:val="208D7D03"/>
    <w:rsid w:val="20A2043A"/>
    <w:rsid w:val="20E4134B"/>
    <w:rsid w:val="21013519"/>
    <w:rsid w:val="21143679"/>
    <w:rsid w:val="212043C2"/>
    <w:rsid w:val="21544225"/>
    <w:rsid w:val="21874178"/>
    <w:rsid w:val="21A153A4"/>
    <w:rsid w:val="21C668EB"/>
    <w:rsid w:val="21D13A32"/>
    <w:rsid w:val="21D50785"/>
    <w:rsid w:val="22014DF6"/>
    <w:rsid w:val="2202428A"/>
    <w:rsid w:val="221B40BE"/>
    <w:rsid w:val="222E5886"/>
    <w:rsid w:val="22382C76"/>
    <w:rsid w:val="2265294A"/>
    <w:rsid w:val="227360D0"/>
    <w:rsid w:val="2279120C"/>
    <w:rsid w:val="22862995"/>
    <w:rsid w:val="228B4504"/>
    <w:rsid w:val="228E707F"/>
    <w:rsid w:val="229A76BE"/>
    <w:rsid w:val="22C76FE6"/>
    <w:rsid w:val="22E11842"/>
    <w:rsid w:val="22E94563"/>
    <w:rsid w:val="22F316EC"/>
    <w:rsid w:val="230C3F98"/>
    <w:rsid w:val="232A0BE5"/>
    <w:rsid w:val="2345019E"/>
    <w:rsid w:val="235F24FB"/>
    <w:rsid w:val="238463DF"/>
    <w:rsid w:val="23876E1A"/>
    <w:rsid w:val="239B0F1B"/>
    <w:rsid w:val="239B2497"/>
    <w:rsid w:val="239E62B8"/>
    <w:rsid w:val="23C834F4"/>
    <w:rsid w:val="23DB4211"/>
    <w:rsid w:val="23ED47B6"/>
    <w:rsid w:val="240842DD"/>
    <w:rsid w:val="241C3095"/>
    <w:rsid w:val="24455D2D"/>
    <w:rsid w:val="24825632"/>
    <w:rsid w:val="24967F1A"/>
    <w:rsid w:val="24AD5437"/>
    <w:rsid w:val="24BD08D0"/>
    <w:rsid w:val="24EA5F0C"/>
    <w:rsid w:val="25056E31"/>
    <w:rsid w:val="251F579C"/>
    <w:rsid w:val="252B7A11"/>
    <w:rsid w:val="252D50C5"/>
    <w:rsid w:val="25325AAF"/>
    <w:rsid w:val="25365B64"/>
    <w:rsid w:val="253A6632"/>
    <w:rsid w:val="25A62083"/>
    <w:rsid w:val="25B00118"/>
    <w:rsid w:val="25C22D5F"/>
    <w:rsid w:val="25CC6264"/>
    <w:rsid w:val="25E618B0"/>
    <w:rsid w:val="26137E7A"/>
    <w:rsid w:val="26246941"/>
    <w:rsid w:val="263C5094"/>
    <w:rsid w:val="26561CC0"/>
    <w:rsid w:val="265A3C3D"/>
    <w:rsid w:val="265F0E66"/>
    <w:rsid w:val="266E3A79"/>
    <w:rsid w:val="26913C79"/>
    <w:rsid w:val="26DB016E"/>
    <w:rsid w:val="26DF0F76"/>
    <w:rsid w:val="272A7FF8"/>
    <w:rsid w:val="272B1A67"/>
    <w:rsid w:val="27411317"/>
    <w:rsid w:val="274E4F2B"/>
    <w:rsid w:val="278E636A"/>
    <w:rsid w:val="279C59F1"/>
    <w:rsid w:val="27B01E3F"/>
    <w:rsid w:val="280A73A7"/>
    <w:rsid w:val="282B05EE"/>
    <w:rsid w:val="2833408D"/>
    <w:rsid w:val="28421859"/>
    <w:rsid w:val="284A5CD0"/>
    <w:rsid w:val="285F2877"/>
    <w:rsid w:val="286A47EA"/>
    <w:rsid w:val="289206A9"/>
    <w:rsid w:val="28BF4E47"/>
    <w:rsid w:val="291909CE"/>
    <w:rsid w:val="2921313E"/>
    <w:rsid w:val="293C1B3D"/>
    <w:rsid w:val="29A8769A"/>
    <w:rsid w:val="29EE3638"/>
    <w:rsid w:val="2A0C453F"/>
    <w:rsid w:val="2A165D7B"/>
    <w:rsid w:val="2A241B69"/>
    <w:rsid w:val="2A2869B0"/>
    <w:rsid w:val="2A3627C7"/>
    <w:rsid w:val="2A4E7003"/>
    <w:rsid w:val="2A6820F8"/>
    <w:rsid w:val="2ADB7769"/>
    <w:rsid w:val="2B1B4378"/>
    <w:rsid w:val="2B1C5D18"/>
    <w:rsid w:val="2B227442"/>
    <w:rsid w:val="2B386965"/>
    <w:rsid w:val="2B427540"/>
    <w:rsid w:val="2B4C177A"/>
    <w:rsid w:val="2B642979"/>
    <w:rsid w:val="2B872A48"/>
    <w:rsid w:val="2B903B50"/>
    <w:rsid w:val="2B9865F4"/>
    <w:rsid w:val="2BB0648D"/>
    <w:rsid w:val="2BB94F76"/>
    <w:rsid w:val="2BD43FF7"/>
    <w:rsid w:val="2BDA5586"/>
    <w:rsid w:val="2BE416D6"/>
    <w:rsid w:val="2C18154A"/>
    <w:rsid w:val="2C237BA5"/>
    <w:rsid w:val="2C385EFE"/>
    <w:rsid w:val="2C4E40F3"/>
    <w:rsid w:val="2C69490E"/>
    <w:rsid w:val="2C6E29F7"/>
    <w:rsid w:val="2C8B2374"/>
    <w:rsid w:val="2CA30D61"/>
    <w:rsid w:val="2CAF574A"/>
    <w:rsid w:val="2CE516F5"/>
    <w:rsid w:val="2CF5745A"/>
    <w:rsid w:val="2D00071C"/>
    <w:rsid w:val="2D0D61FC"/>
    <w:rsid w:val="2D327D43"/>
    <w:rsid w:val="2D40009C"/>
    <w:rsid w:val="2D492D5F"/>
    <w:rsid w:val="2D4F1D03"/>
    <w:rsid w:val="2D6B48B4"/>
    <w:rsid w:val="2D857291"/>
    <w:rsid w:val="2D942B78"/>
    <w:rsid w:val="2DA47D0E"/>
    <w:rsid w:val="2DA546FB"/>
    <w:rsid w:val="2DA92E80"/>
    <w:rsid w:val="2DBD095E"/>
    <w:rsid w:val="2DD507B9"/>
    <w:rsid w:val="2DF80A8F"/>
    <w:rsid w:val="2E137D63"/>
    <w:rsid w:val="2E34488C"/>
    <w:rsid w:val="2E3741F8"/>
    <w:rsid w:val="2E444650"/>
    <w:rsid w:val="2E58065B"/>
    <w:rsid w:val="2E6D0478"/>
    <w:rsid w:val="2E751B06"/>
    <w:rsid w:val="2E876B6B"/>
    <w:rsid w:val="2E8B6FAD"/>
    <w:rsid w:val="2EAA4A01"/>
    <w:rsid w:val="2EC456C9"/>
    <w:rsid w:val="2ED01FF2"/>
    <w:rsid w:val="2EEC26E2"/>
    <w:rsid w:val="2F0E01DD"/>
    <w:rsid w:val="2F342AD2"/>
    <w:rsid w:val="2F3831FD"/>
    <w:rsid w:val="2F667CCA"/>
    <w:rsid w:val="2F74025C"/>
    <w:rsid w:val="2F7D41FC"/>
    <w:rsid w:val="2FAA5554"/>
    <w:rsid w:val="2FB13CD5"/>
    <w:rsid w:val="2FBF3C97"/>
    <w:rsid w:val="2FCB25B1"/>
    <w:rsid w:val="2FF4231B"/>
    <w:rsid w:val="2FF547F3"/>
    <w:rsid w:val="30077ED2"/>
    <w:rsid w:val="30241F48"/>
    <w:rsid w:val="303020EE"/>
    <w:rsid w:val="304333DC"/>
    <w:rsid w:val="305D41A4"/>
    <w:rsid w:val="306D5DDD"/>
    <w:rsid w:val="306E357E"/>
    <w:rsid w:val="3071536B"/>
    <w:rsid w:val="309B2AAF"/>
    <w:rsid w:val="30D03CA4"/>
    <w:rsid w:val="30D05039"/>
    <w:rsid w:val="30D14A82"/>
    <w:rsid w:val="30D81835"/>
    <w:rsid w:val="3110068D"/>
    <w:rsid w:val="31433D4F"/>
    <w:rsid w:val="31453351"/>
    <w:rsid w:val="315250DE"/>
    <w:rsid w:val="31790A30"/>
    <w:rsid w:val="31B06A58"/>
    <w:rsid w:val="31FE546A"/>
    <w:rsid w:val="321E3342"/>
    <w:rsid w:val="321F2C5E"/>
    <w:rsid w:val="323C3FC7"/>
    <w:rsid w:val="327E245C"/>
    <w:rsid w:val="328A149E"/>
    <w:rsid w:val="328C12CD"/>
    <w:rsid w:val="32AE547B"/>
    <w:rsid w:val="32BF3F5D"/>
    <w:rsid w:val="32BF6EAB"/>
    <w:rsid w:val="32EC2732"/>
    <w:rsid w:val="32F460E0"/>
    <w:rsid w:val="337C0DCB"/>
    <w:rsid w:val="337F6F67"/>
    <w:rsid w:val="33830E41"/>
    <w:rsid w:val="339401DD"/>
    <w:rsid w:val="33A6144E"/>
    <w:rsid w:val="33A97365"/>
    <w:rsid w:val="33B70A89"/>
    <w:rsid w:val="33CB7C7B"/>
    <w:rsid w:val="33CC3A9D"/>
    <w:rsid w:val="33FC4966"/>
    <w:rsid w:val="340203FF"/>
    <w:rsid w:val="34CA6955"/>
    <w:rsid w:val="34D63F60"/>
    <w:rsid w:val="34FD0CA9"/>
    <w:rsid w:val="352167BC"/>
    <w:rsid w:val="35247A00"/>
    <w:rsid w:val="3555538C"/>
    <w:rsid w:val="35C84545"/>
    <w:rsid w:val="35CF4795"/>
    <w:rsid w:val="35D631C2"/>
    <w:rsid w:val="35E42132"/>
    <w:rsid w:val="35EA7E50"/>
    <w:rsid w:val="360213DB"/>
    <w:rsid w:val="36095309"/>
    <w:rsid w:val="360B429B"/>
    <w:rsid w:val="362D031F"/>
    <w:rsid w:val="3639349C"/>
    <w:rsid w:val="365009B2"/>
    <w:rsid w:val="36575FB3"/>
    <w:rsid w:val="368A544A"/>
    <w:rsid w:val="36A634B9"/>
    <w:rsid w:val="36DA0180"/>
    <w:rsid w:val="36DD238C"/>
    <w:rsid w:val="370E3C55"/>
    <w:rsid w:val="37131E85"/>
    <w:rsid w:val="37140125"/>
    <w:rsid w:val="37146F60"/>
    <w:rsid w:val="37150BE6"/>
    <w:rsid w:val="372A53C7"/>
    <w:rsid w:val="373830F8"/>
    <w:rsid w:val="373F5546"/>
    <w:rsid w:val="374455F9"/>
    <w:rsid w:val="37851C28"/>
    <w:rsid w:val="37972BE3"/>
    <w:rsid w:val="379B50AB"/>
    <w:rsid w:val="37A81DE2"/>
    <w:rsid w:val="37DC09FA"/>
    <w:rsid w:val="37F214F9"/>
    <w:rsid w:val="37F25C84"/>
    <w:rsid w:val="38106A42"/>
    <w:rsid w:val="382355CB"/>
    <w:rsid w:val="38302FFE"/>
    <w:rsid w:val="3862646B"/>
    <w:rsid w:val="386A4660"/>
    <w:rsid w:val="3899656B"/>
    <w:rsid w:val="389D6B90"/>
    <w:rsid w:val="38A47F22"/>
    <w:rsid w:val="390C0398"/>
    <w:rsid w:val="39490D3E"/>
    <w:rsid w:val="394A3525"/>
    <w:rsid w:val="395212E8"/>
    <w:rsid w:val="39551F32"/>
    <w:rsid w:val="395F1C67"/>
    <w:rsid w:val="3960695F"/>
    <w:rsid w:val="39637704"/>
    <w:rsid w:val="396E6140"/>
    <w:rsid w:val="3989078F"/>
    <w:rsid w:val="39CF0F01"/>
    <w:rsid w:val="39D76BF8"/>
    <w:rsid w:val="39D87249"/>
    <w:rsid w:val="39E45BB6"/>
    <w:rsid w:val="39F24CC5"/>
    <w:rsid w:val="39F34702"/>
    <w:rsid w:val="3A1D325C"/>
    <w:rsid w:val="3A22617C"/>
    <w:rsid w:val="3A491E9B"/>
    <w:rsid w:val="3A517735"/>
    <w:rsid w:val="3AA90FE6"/>
    <w:rsid w:val="3ADB2C0F"/>
    <w:rsid w:val="3AEA238A"/>
    <w:rsid w:val="3B551BB8"/>
    <w:rsid w:val="3B681EC4"/>
    <w:rsid w:val="3BB04A0C"/>
    <w:rsid w:val="3BD61983"/>
    <w:rsid w:val="3BEC14D9"/>
    <w:rsid w:val="3BED5025"/>
    <w:rsid w:val="3C1A46BF"/>
    <w:rsid w:val="3C304F26"/>
    <w:rsid w:val="3C3A282E"/>
    <w:rsid w:val="3C4248A4"/>
    <w:rsid w:val="3C5E5C80"/>
    <w:rsid w:val="3C640C99"/>
    <w:rsid w:val="3C8D4CA7"/>
    <w:rsid w:val="3D235CB1"/>
    <w:rsid w:val="3D2447EF"/>
    <w:rsid w:val="3D497966"/>
    <w:rsid w:val="3D507EEE"/>
    <w:rsid w:val="3D65649F"/>
    <w:rsid w:val="3D9E63D3"/>
    <w:rsid w:val="3D9F7F4D"/>
    <w:rsid w:val="3DA46DF1"/>
    <w:rsid w:val="3DAB22ED"/>
    <w:rsid w:val="3DB81ED5"/>
    <w:rsid w:val="3E014CF9"/>
    <w:rsid w:val="3E1555CF"/>
    <w:rsid w:val="3E392B8C"/>
    <w:rsid w:val="3E3D0FF4"/>
    <w:rsid w:val="3E514F5F"/>
    <w:rsid w:val="3E667FEE"/>
    <w:rsid w:val="3ECE0FF8"/>
    <w:rsid w:val="3ED83587"/>
    <w:rsid w:val="3EDB5A73"/>
    <w:rsid w:val="3F6032C5"/>
    <w:rsid w:val="3F655FA4"/>
    <w:rsid w:val="3F9F0F45"/>
    <w:rsid w:val="3FBA07F5"/>
    <w:rsid w:val="3FBE3F02"/>
    <w:rsid w:val="3FEA14B7"/>
    <w:rsid w:val="40152A6E"/>
    <w:rsid w:val="407927B7"/>
    <w:rsid w:val="408C298E"/>
    <w:rsid w:val="40967E42"/>
    <w:rsid w:val="40E23958"/>
    <w:rsid w:val="411428B1"/>
    <w:rsid w:val="4135583D"/>
    <w:rsid w:val="41423670"/>
    <w:rsid w:val="415055B9"/>
    <w:rsid w:val="415C40AC"/>
    <w:rsid w:val="416F53B1"/>
    <w:rsid w:val="41D41E60"/>
    <w:rsid w:val="41D80E37"/>
    <w:rsid w:val="41D82C2F"/>
    <w:rsid w:val="41EA36F9"/>
    <w:rsid w:val="421701D7"/>
    <w:rsid w:val="4226343F"/>
    <w:rsid w:val="422F3881"/>
    <w:rsid w:val="423778F5"/>
    <w:rsid w:val="425A0F50"/>
    <w:rsid w:val="425A6618"/>
    <w:rsid w:val="42812EC4"/>
    <w:rsid w:val="42B66067"/>
    <w:rsid w:val="42C70EB1"/>
    <w:rsid w:val="42CC521F"/>
    <w:rsid w:val="42EB62D7"/>
    <w:rsid w:val="42F04A72"/>
    <w:rsid w:val="42F44377"/>
    <w:rsid w:val="430A08BD"/>
    <w:rsid w:val="430F5400"/>
    <w:rsid w:val="431D7CA3"/>
    <w:rsid w:val="436942F7"/>
    <w:rsid w:val="445D0A06"/>
    <w:rsid w:val="44817BC2"/>
    <w:rsid w:val="44881061"/>
    <w:rsid w:val="449B0A08"/>
    <w:rsid w:val="44A53B79"/>
    <w:rsid w:val="44B775FF"/>
    <w:rsid w:val="44B9227F"/>
    <w:rsid w:val="44C45191"/>
    <w:rsid w:val="44CD780A"/>
    <w:rsid w:val="44FC77F6"/>
    <w:rsid w:val="453166A7"/>
    <w:rsid w:val="453D3D5C"/>
    <w:rsid w:val="454B1A4B"/>
    <w:rsid w:val="456C5FDF"/>
    <w:rsid w:val="4581428A"/>
    <w:rsid w:val="45817907"/>
    <w:rsid w:val="459149F2"/>
    <w:rsid w:val="45AC0F39"/>
    <w:rsid w:val="45AE54D0"/>
    <w:rsid w:val="45D841A9"/>
    <w:rsid w:val="45DA5415"/>
    <w:rsid w:val="45E3672E"/>
    <w:rsid w:val="46103864"/>
    <w:rsid w:val="46A85324"/>
    <w:rsid w:val="46AC2CB8"/>
    <w:rsid w:val="46CC58AC"/>
    <w:rsid w:val="470B3BB2"/>
    <w:rsid w:val="47182176"/>
    <w:rsid w:val="47271F3C"/>
    <w:rsid w:val="473E4311"/>
    <w:rsid w:val="47441545"/>
    <w:rsid w:val="474B3881"/>
    <w:rsid w:val="476A4849"/>
    <w:rsid w:val="47833F1C"/>
    <w:rsid w:val="479B0241"/>
    <w:rsid w:val="47A263EF"/>
    <w:rsid w:val="47AB652B"/>
    <w:rsid w:val="47B2035D"/>
    <w:rsid w:val="47BA1D4F"/>
    <w:rsid w:val="47FA16D1"/>
    <w:rsid w:val="480215B3"/>
    <w:rsid w:val="48642EB2"/>
    <w:rsid w:val="487B060A"/>
    <w:rsid w:val="48B81765"/>
    <w:rsid w:val="48BD22C5"/>
    <w:rsid w:val="48C66659"/>
    <w:rsid w:val="48D123D0"/>
    <w:rsid w:val="48E22DB8"/>
    <w:rsid w:val="48FE4D51"/>
    <w:rsid w:val="49195CBB"/>
    <w:rsid w:val="492377B6"/>
    <w:rsid w:val="494A3E74"/>
    <w:rsid w:val="495956B2"/>
    <w:rsid w:val="497914DC"/>
    <w:rsid w:val="498A340B"/>
    <w:rsid w:val="498A38A0"/>
    <w:rsid w:val="49900756"/>
    <w:rsid w:val="499367A9"/>
    <w:rsid w:val="49B15572"/>
    <w:rsid w:val="49B44768"/>
    <w:rsid w:val="49B52419"/>
    <w:rsid w:val="49BF7424"/>
    <w:rsid w:val="49DA3ABA"/>
    <w:rsid w:val="49E14B4C"/>
    <w:rsid w:val="4A1074CA"/>
    <w:rsid w:val="4A2C2706"/>
    <w:rsid w:val="4A767F26"/>
    <w:rsid w:val="4A785F94"/>
    <w:rsid w:val="4A7F6629"/>
    <w:rsid w:val="4AA27C95"/>
    <w:rsid w:val="4AA95641"/>
    <w:rsid w:val="4AC00A75"/>
    <w:rsid w:val="4ADB0C69"/>
    <w:rsid w:val="4AE725A7"/>
    <w:rsid w:val="4B220857"/>
    <w:rsid w:val="4B3E40CE"/>
    <w:rsid w:val="4B445763"/>
    <w:rsid w:val="4B566A37"/>
    <w:rsid w:val="4B687A01"/>
    <w:rsid w:val="4B84570F"/>
    <w:rsid w:val="4BE1205F"/>
    <w:rsid w:val="4BFB2E8D"/>
    <w:rsid w:val="4C0339C1"/>
    <w:rsid w:val="4C0D0CDD"/>
    <w:rsid w:val="4C5773F8"/>
    <w:rsid w:val="4C7C626B"/>
    <w:rsid w:val="4CB94B58"/>
    <w:rsid w:val="4CE7190C"/>
    <w:rsid w:val="4D046114"/>
    <w:rsid w:val="4D073FD3"/>
    <w:rsid w:val="4D1F3F89"/>
    <w:rsid w:val="4D525FBD"/>
    <w:rsid w:val="4D5B7FD2"/>
    <w:rsid w:val="4D76301F"/>
    <w:rsid w:val="4D833338"/>
    <w:rsid w:val="4D887FB4"/>
    <w:rsid w:val="4D8B1F66"/>
    <w:rsid w:val="4DBE1E7C"/>
    <w:rsid w:val="4DE328BF"/>
    <w:rsid w:val="4DE427ED"/>
    <w:rsid w:val="4E237EE8"/>
    <w:rsid w:val="4E5E7035"/>
    <w:rsid w:val="4E782ABD"/>
    <w:rsid w:val="4E8737AB"/>
    <w:rsid w:val="4E877E1B"/>
    <w:rsid w:val="4E89468A"/>
    <w:rsid w:val="4E8A3DE2"/>
    <w:rsid w:val="4E9716D5"/>
    <w:rsid w:val="4EA45E37"/>
    <w:rsid w:val="4EC97A76"/>
    <w:rsid w:val="4EEC0317"/>
    <w:rsid w:val="4F247B97"/>
    <w:rsid w:val="4F3D717C"/>
    <w:rsid w:val="4F423BAB"/>
    <w:rsid w:val="4F490585"/>
    <w:rsid w:val="4F786330"/>
    <w:rsid w:val="4F8C2B9C"/>
    <w:rsid w:val="4F8F69B7"/>
    <w:rsid w:val="5015666B"/>
    <w:rsid w:val="50223339"/>
    <w:rsid w:val="50384DF1"/>
    <w:rsid w:val="5050434B"/>
    <w:rsid w:val="509154B1"/>
    <w:rsid w:val="509A7C4A"/>
    <w:rsid w:val="50B71F10"/>
    <w:rsid w:val="50C93A32"/>
    <w:rsid w:val="5100713C"/>
    <w:rsid w:val="51083CB0"/>
    <w:rsid w:val="51433A3D"/>
    <w:rsid w:val="51594E3B"/>
    <w:rsid w:val="51597C29"/>
    <w:rsid w:val="51A553A0"/>
    <w:rsid w:val="51B63909"/>
    <w:rsid w:val="51F93497"/>
    <w:rsid w:val="51FD7F94"/>
    <w:rsid w:val="521E3B4E"/>
    <w:rsid w:val="52421CFA"/>
    <w:rsid w:val="525F2B02"/>
    <w:rsid w:val="52777B5F"/>
    <w:rsid w:val="52790907"/>
    <w:rsid w:val="527A63C7"/>
    <w:rsid w:val="5293782C"/>
    <w:rsid w:val="52A92F6A"/>
    <w:rsid w:val="52AE785B"/>
    <w:rsid w:val="52BD12C7"/>
    <w:rsid w:val="52EF1208"/>
    <w:rsid w:val="52F02C06"/>
    <w:rsid w:val="52F2519B"/>
    <w:rsid w:val="536550B1"/>
    <w:rsid w:val="539E2D5C"/>
    <w:rsid w:val="53A67D3F"/>
    <w:rsid w:val="53AE3D2D"/>
    <w:rsid w:val="53D10CB8"/>
    <w:rsid w:val="54270CAE"/>
    <w:rsid w:val="54340527"/>
    <w:rsid w:val="5441659E"/>
    <w:rsid w:val="544D23C7"/>
    <w:rsid w:val="546A7821"/>
    <w:rsid w:val="549B3FFA"/>
    <w:rsid w:val="54EA7388"/>
    <w:rsid w:val="54EC6710"/>
    <w:rsid w:val="54FA3743"/>
    <w:rsid w:val="55062BE6"/>
    <w:rsid w:val="550F4604"/>
    <w:rsid w:val="55112F10"/>
    <w:rsid w:val="5513514A"/>
    <w:rsid w:val="551E0F83"/>
    <w:rsid w:val="55206A8B"/>
    <w:rsid w:val="55400B67"/>
    <w:rsid w:val="555A0675"/>
    <w:rsid w:val="55733821"/>
    <w:rsid w:val="557D1202"/>
    <w:rsid w:val="55A66A81"/>
    <w:rsid w:val="55CD76CB"/>
    <w:rsid w:val="55DB1E6C"/>
    <w:rsid w:val="55F7061D"/>
    <w:rsid w:val="560C42B2"/>
    <w:rsid w:val="561C5A10"/>
    <w:rsid w:val="563C00B7"/>
    <w:rsid w:val="56416883"/>
    <w:rsid w:val="56C81EAE"/>
    <w:rsid w:val="56E14DF9"/>
    <w:rsid w:val="56E458FF"/>
    <w:rsid w:val="56F865C9"/>
    <w:rsid w:val="5701308F"/>
    <w:rsid w:val="571A210C"/>
    <w:rsid w:val="575D15AE"/>
    <w:rsid w:val="575E2DA1"/>
    <w:rsid w:val="57615EF0"/>
    <w:rsid w:val="578742C4"/>
    <w:rsid w:val="57AD6991"/>
    <w:rsid w:val="57E12BD7"/>
    <w:rsid w:val="57FE57C7"/>
    <w:rsid w:val="583E504A"/>
    <w:rsid w:val="5853798C"/>
    <w:rsid w:val="58855A8C"/>
    <w:rsid w:val="588654A0"/>
    <w:rsid w:val="58EE39DA"/>
    <w:rsid w:val="58F47F99"/>
    <w:rsid w:val="591A480F"/>
    <w:rsid w:val="591E23E4"/>
    <w:rsid w:val="592C1B06"/>
    <w:rsid w:val="592F26EA"/>
    <w:rsid w:val="593D5FFE"/>
    <w:rsid w:val="59640A71"/>
    <w:rsid w:val="598D51D1"/>
    <w:rsid w:val="599D6010"/>
    <w:rsid w:val="59D910CA"/>
    <w:rsid w:val="59E92631"/>
    <w:rsid w:val="5A272478"/>
    <w:rsid w:val="5A316A99"/>
    <w:rsid w:val="5A3E0102"/>
    <w:rsid w:val="5ACF3B6A"/>
    <w:rsid w:val="5AD9598B"/>
    <w:rsid w:val="5B106650"/>
    <w:rsid w:val="5B282ED9"/>
    <w:rsid w:val="5B491695"/>
    <w:rsid w:val="5B6E79FD"/>
    <w:rsid w:val="5B8836A6"/>
    <w:rsid w:val="5B8C3CF4"/>
    <w:rsid w:val="5BB12ED8"/>
    <w:rsid w:val="5BB51354"/>
    <w:rsid w:val="5BC47CA0"/>
    <w:rsid w:val="5BDE0F7A"/>
    <w:rsid w:val="5C0327D5"/>
    <w:rsid w:val="5C035F86"/>
    <w:rsid w:val="5C226DC9"/>
    <w:rsid w:val="5C256A1F"/>
    <w:rsid w:val="5C762AE3"/>
    <w:rsid w:val="5C7E14D8"/>
    <w:rsid w:val="5CB3105A"/>
    <w:rsid w:val="5CB566C5"/>
    <w:rsid w:val="5CCE79BB"/>
    <w:rsid w:val="5CD974E2"/>
    <w:rsid w:val="5CFC538D"/>
    <w:rsid w:val="5CFE3BF3"/>
    <w:rsid w:val="5D1D3C97"/>
    <w:rsid w:val="5DB87579"/>
    <w:rsid w:val="5DE910F8"/>
    <w:rsid w:val="5DEE7BAC"/>
    <w:rsid w:val="5DEF097E"/>
    <w:rsid w:val="5E22446F"/>
    <w:rsid w:val="5E3A61DD"/>
    <w:rsid w:val="5E3C6450"/>
    <w:rsid w:val="5E477DD1"/>
    <w:rsid w:val="5E700E82"/>
    <w:rsid w:val="5E7E2C3A"/>
    <w:rsid w:val="5E8B3277"/>
    <w:rsid w:val="5E9D3530"/>
    <w:rsid w:val="5EC60373"/>
    <w:rsid w:val="5F0A4C5A"/>
    <w:rsid w:val="5F1C55C6"/>
    <w:rsid w:val="5F4F2CC3"/>
    <w:rsid w:val="5F506D4B"/>
    <w:rsid w:val="5F542255"/>
    <w:rsid w:val="5F5C728F"/>
    <w:rsid w:val="5F8800E9"/>
    <w:rsid w:val="5F945E24"/>
    <w:rsid w:val="5F975F7F"/>
    <w:rsid w:val="5F9D596A"/>
    <w:rsid w:val="5FC368C8"/>
    <w:rsid w:val="5FFB0B10"/>
    <w:rsid w:val="601F55E6"/>
    <w:rsid w:val="60307BEA"/>
    <w:rsid w:val="60552649"/>
    <w:rsid w:val="60626835"/>
    <w:rsid w:val="606303D6"/>
    <w:rsid w:val="60A03A33"/>
    <w:rsid w:val="60D536BD"/>
    <w:rsid w:val="60E00574"/>
    <w:rsid w:val="610E6119"/>
    <w:rsid w:val="61434772"/>
    <w:rsid w:val="617521D5"/>
    <w:rsid w:val="61824E28"/>
    <w:rsid w:val="619E6752"/>
    <w:rsid w:val="61F85031"/>
    <w:rsid w:val="620978D6"/>
    <w:rsid w:val="625404B7"/>
    <w:rsid w:val="625A4E7E"/>
    <w:rsid w:val="627607BE"/>
    <w:rsid w:val="627D7C98"/>
    <w:rsid w:val="628D4E56"/>
    <w:rsid w:val="62917DBF"/>
    <w:rsid w:val="629516B5"/>
    <w:rsid w:val="629642F8"/>
    <w:rsid w:val="62C56728"/>
    <w:rsid w:val="62D00109"/>
    <w:rsid w:val="62D13ED5"/>
    <w:rsid w:val="630117C6"/>
    <w:rsid w:val="630C52E0"/>
    <w:rsid w:val="63207ED6"/>
    <w:rsid w:val="633D770A"/>
    <w:rsid w:val="63591122"/>
    <w:rsid w:val="63883076"/>
    <w:rsid w:val="63934833"/>
    <w:rsid w:val="639D462C"/>
    <w:rsid w:val="63AF51A5"/>
    <w:rsid w:val="64063939"/>
    <w:rsid w:val="6409517E"/>
    <w:rsid w:val="640C5FE2"/>
    <w:rsid w:val="640E120F"/>
    <w:rsid w:val="64126E49"/>
    <w:rsid w:val="644C2426"/>
    <w:rsid w:val="644F27CD"/>
    <w:rsid w:val="646C70C5"/>
    <w:rsid w:val="648F305E"/>
    <w:rsid w:val="64C839EA"/>
    <w:rsid w:val="64E13F40"/>
    <w:rsid w:val="64F246DC"/>
    <w:rsid w:val="64FC039D"/>
    <w:rsid w:val="65221DCE"/>
    <w:rsid w:val="652E5ED5"/>
    <w:rsid w:val="65423D67"/>
    <w:rsid w:val="656174BB"/>
    <w:rsid w:val="65734441"/>
    <w:rsid w:val="65756237"/>
    <w:rsid w:val="65E36602"/>
    <w:rsid w:val="66264F7E"/>
    <w:rsid w:val="663077C2"/>
    <w:rsid w:val="665549A6"/>
    <w:rsid w:val="668900B0"/>
    <w:rsid w:val="6693502C"/>
    <w:rsid w:val="66A60A53"/>
    <w:rsid w:val="66A87068"/>
    <w:rsid w:val="66CB01EE"/>
    <w:rsid w:val="66E46E60"/>
    <w:rsid w:val="67144738"/>
    <w:rsid w:val="6715750E"/>
    <w:rsid w:val="671B50A1"/>
    <w:rsid w:val="672A66E1"/>
    <w:rsid w:val="67706E79"/>
    <w:rsid w:val="6772248D"/>
    <w:rsid w:val="679B782F"/>
    <w:rsid w:val="679F7076"/>
    <w:rsid w:val="67AE37F0"/>
    <w:rsid w:val="67B52192"/>
    <w:rsid w:val="67C869F5"/>
    <w:rsid w:val="67CD59E8"/>
    <w:rsid w:val="680E1188"/>
    <w:rsid w:val="680E623C"/>
    <w:rsid w:val="68146926"/>
    <w:rsid w:val="683C3560"/>
    <w:rsid w:val="685210F1"/>
    <w:rsid w:val="685E47E2"/>
    <w:rsid w:val="686C7388"/>
    <w:rsid w:val="686E5DFE"/>
    <w:rsid w:val="68907287"/>
    <w:rsid w:val="689326EC"/>
    <w:rsid w:val="68981445"/>
    <w:rsid w:val="68A81640"/>
    <w:rsid w:val="68C33D20"/>
    <w:rsid w:val="68C64F28"/>
    <w:rsid w:val="69007BAC"/>
    <w:rsid w:val="69181FE8"/>
    <w:rsid w:val="693E578F"/>
    <w:rsid w:val="69403501"/>
    <w:rsid w:val="694B5848"/>
    <w:rsid w:val="694B6B7A"/>
    <w:rsid w:val="694D56B2"/>
    <w:rsid w:val="695B519F"/>
    <w:rsid w:val="696040E4"/>
    <w:rsid w:val="696A6380"/>
    <w:rsid w:val="699270B5"/>
    <w:rsid w:val="699470C6"/>
    <w:rsid w:val="69964675"/>
    <w:rsid w:val="699C753E"/>
    <w:rsid w:val="69C31AA9"/>
    <w:rsid w:val="69EE79D0"/>
    <w:rsid w:val="6A264644"/>
    <w:rsid w:val="6A267F46"/>
    <w:rsid w:val="6A425169"/>
    <w:rsid w:val="6A790DBD"/>
    <w:rsid w:val="6A7A2B04"/>
    <w:rsid w:val="6A924709"/>
    <w:rsid w:val="6A9C4E2B"/>
    <w:rsid w:val="6ACE0429"/>
    <w:rsid w:val="6AD03157"/>
    <w:rsid w:val="6ADF16CD"/>
    <w:rsid w:val="6B21606D"/>
    <w:rsid w:val="6B323E69"/>
    <w:rsid w:val="6B3D24B0"/>
    <w:rsid w:val="6B651A89"/>
    <w:rsid w:val="6B785F0D"/>
    <w:rsid w:val="6BA93BAF"/>
    <w:rsid w:val="6BD83260"/>
    <w:rsid w:val="6BE174AE"/>
    <w:rsid w:val="6BEF0C80"/>
    <w:rsid w:val="6C4D366A"/>
    <w:rsid w:val="6C576FA0"/>
    <w:rsid w:val="6C615AB0"/>
    <w:rsid w:val="6C6A16B7"/>
    <w:rsid w:val="6C71399D"/>
    <w:rsid w:val="6C79285C"/>
    <w:rsid w:val="6C8530FB"/>
    <w:rsid w:val="6C8A65A2"/>
    <w:rsid w:val="6C8F3789"/>
    <w:rsid w:val="6C961288"/>
    <w:rsid w:val="6CAB5790"/>
    <w:rsid w:val="6CB845AA"/>
    <w:rsid w:val="6CC604C7"/>
    <w:rsid w:val="6CD124AC"/>
    <w:rsid w:val="6D206971"/>
    <w:rsid w:val="6D625365"/>
    <w:rsid w:val="6D7570C0"/>
    <w:rsid w:val="6DB461B4"/>
    <w:rsid w:val="6DBE39F4"/>
    <w:rsid w:val="6DC8006D"/>
    <w:rsid w:val="6E0255FB"/>
    <w:rsid w:val="6E9636E1"/>
    <w:rsid w:val="6EA91A7A"/>
    <w:rsid w:val="6EAA6827"/>
    <w:rsid w:val="6F0D25BD"/>
    <w:rsid w:val="6F36485B"/>
    <w:rsid w:val="6F5C7AD2"/>
    <w:rsid w:val="6F7B13B5"/>
    <w:rsid w:val="6F840C42"/>
    <w:rsid w:val="6FA15D6F"/>
    <w:rsid w:val="70043B86"/>
    <w:rsid w:val="70167F78"/>
    <w:rsid w:val="70306B08"/>
    <w:rsid w:val="70444037"/>
    <w:rsid w:val="704646FD"/>
    <w:rsid w:val="70542AC1"/>
    <w:rsid w:val="707D3F60"/>
    <w:rsid w:val="708727AC"/>
    <w:rsid w:val="70A6084E"/>
    <w:rsid w:val="70CB45F9"/>
    <w:rsid w:val="70D53DB9"/>
    <w:rsid w:val="70E2259B"/>
    <w:rsid w:val="70FC01F9"/>
    <w:rsid w:val="711C7BBC"/>
    <w:rsid w:val="711E54E1"/>
    <w:rsid w:val="71320920"/>
    <w:rsid w:val="71390B48"/>
    <w:rsid w:val="715776FB"/>
    <w:rsid w:val="715B70D1"/>
    <w:rsid w:val="71920D6F"/>
    <w:rsid w:val="719721EE"/>
    <w:rsid w:val="719D17E5"/>
    <w:rsid w:val="71AF5939"/>
    <w:rsid w:val="71B00943"/>
    <w:rsid w:val="71BB60EE"/>
    <w:rsid w:val="71CF48D9"/>
    <w:rsid w:val="71F151C8"/>
    <w:rsid w:val="720A68E1"/>
    <w:rsid w:val="722B58D1"/>
    <w:rsid w:val="72601139"/>
    <w:rsid w:val="7266351A"/>
    <w:rsid w:val="729F6AB4"/>
    <w:rsid w:val="72AE264A"/>
    <w:rsid w:val="72AE63AA"/>
    <w:rsid w:val="72BC10BC"/>
    <w:rsid w:val="72F22881"/>
    <w:rsid w:val="73372D30"/>
    <w:rsid w:val="73B96324"/>
    <w:rsid w:val="73C0682F"/>
    <w:rsid w:val="73D47BC7"/>
    <w:rsid w:val="73D554C5"/>
    <w:rsid w:val="743207B5"/>
    <w:rsid w:val="7444171B"/>
    <w:rsid w:val="749768C2"/>
    <w:rsid w:val="74AE20AD"/>
    <w:rsid w:val="74B3164B"/>
    <w:rsid w:val="751471B9"/>
    <w:rsid w:val="75213664"/>
    <w:rsid w:val="754336FD"/>
    <w:rsid w:val="759C68AF"/>
    <w:rsid w:val="75B03589"/>
    <w:rsid w:val="75C86DBE"/>
    <w:rsid w:val="75CB093F"/>
    <w:rsid w:val="75F54B15"/>
    <w:rsid w:val="76040595"/>
    <w:rsid w:val="760A5C6D"/>
    <w:rsid w:val="762A33A0"/>
    <w:rsid w:val="763177CD"/>
    <w:rsid w:val="76340D47"/>
    <w:rsid w:val="76384B5B"/>
    <w:rsid w:val="764209AA"/>
    <w:rsid w:val="76675F09"/>
    <w:rsid w:val="76835A1D"/>
    <w:rsid w:val="76D14CCB"/>
    <w:rsid w:val="76EE4F3E"/>
    <w:rsid w:val="76F81720"/>
    <w:rsid w:val="770A2755"/>
    <w:rsid w:val="77747663"/>
    <w:rsid w:val="77A411C1"/>
    <w:rsid w:val="77CA07CF"/>
    <w:rsid w:val="77D95257"/>
    <w:rsid w:val="77DB551E"/>
    <w:rsid w:val="77EC4715"/>
    <w:rsid w:val="77F334B6"/>
    <w:rsid w:val="77FB2319"/>
    <w:rsid w:val="782557AC"/>
    <w:rsid w:val="783614CF"/>
    <w:rsid w:val="783B4B27"/>
    <w:rsid w:val="7853632D"/>
    <w:rsid w:val="78713BEC"/>
    <w:rsid w:val="78882890"/>
    <w:rsid w:val="788F2A02"/>
    <w:rsid w:val="78ED2984"/>
    <w:rsid w:val="78F44D6B"/>
    <w:rsid w:val="790326E2"/>
    <w:rsid w:val="79104829"/>
    <w:rsid w:val="796B46E1"/>
    <w:rsid w:val="796F695D"/>
    <w:rsid w:val="7993441D"/>
    <w:rsid w:val="79983A8E"/>
    <w:rsid w:val="799A773E"/>
    <w:rsid w:val="799B32AB"/>
    <w:rsid w:val="79A6186F"/>
    <w:rsid w:val="79B40DB4"/>
    <w:rsid w:val="79BD1895"/>
    <w:rsid w:val="79CE63C2"/>
    <w:rsid w:val="79D73ACF"/>
    <w:rsid w:val="79F23312"/>
    <w:rsid w:val="79FC3D60"/>
    <w:rsid w:val="7A261FFC"/>
    <w:rsid w:val="7A361557"/>
    <w:rsid w:val="7A4F6A09"/>
    <w:rsid w:val="7A974F03"/>
    <w:rsid w:val="7A9C0875"/>
    <w:rsid w:val="7AAA3B72"/>
    <w:rsid w:val="7AB973E1"/>
    <w:rsid w:val="7AC9229D"/>
    <w:rsid w:val="7AD01F36"/>
    <w:rsid w:val="7AF93AE2"/>
    <w:rsid w:val="7B210991"/>
    <w:rsid w:val="7B3B266F"/>
    <w:rsid w:val="7B476708"/>
    <w:rsid w:val="7B5B1C81"/>
    <w:rsid w:val="7B705F89"/>
    <w:rsid w:val="7B7B71EA"/>
    <w:rsid w:val="7B8737C9"/>
    <w:rsid w:val="7BC15674"/>
    <w:rsid w:val="7BCF2697"/>
    <w:rsid w:val="7BD25EE5"/>
    <w:rsid w:val="7BFF1935"/>
    <w:rsid w:val="7C0A7082"/>
    <w:rsid w:val="7C480CA5"/>
    <w:rsid w:val="7C5A38F3"/>
    <w:rsid w:val="7C6F7498"/>
    <w:rsid w:val="7C763B73"/>
    <w:rsid w:val="7C913FB8"/>
    <w:rsid w:val="7C973C32"/>
    <w:rsid w:val="7C9B4397"/>
    <w:rsid w:val="7CB25997"/>
    <w:rsid w:val="7CBC35F6"/>
    <w:rsid w:val="7CF646BB"/>
    <w:rsid w:val="7CFE7487"/>
    <w:rsid w:val="7D1350BE"/>
    <w:rsid w:val="7D2016F6"/>
    <w:rsid w:val="7D375A30"/>
    <w:rsid w:val="7D407FAF"/>
    <w:rsid w:val="7D41310C"/>
    <w:rsid w:val="7D500696"/>
    <w:rsid w:val="7D681D40"/>
    <w:rsid w:val="7D895780"/>
    <w:rsid w:val="7D8D7927"/>
    <w:rsid w:val="7D954D59"/>
    <w:rsid w:val="7D9F44AB"/>
    <w:rsid w:val="7DD33B91"/>
    <w:rsid w:val="7DE744DC"/>
    <w:rsid w:val="7DF657EE"/>
    <w:rsid w:val="7E140461"/>
    <w:rsid w:val="7E2538AA"/>
    <w:rsid w:val="7E315383"/>
    <w:rsid w:val="7E451A71"/>
    <w:rsid w:val="7E455F02"/>
    <w:rsid w:val="7E4575E4"/>
    <w:rsid w:val="7E47374C"/>
    <w:rsid w:val="7ECE763A"/>
    <w:rsid w:val="7ED10D70"/>
    <w:rsid w:val="7EE00D4A"/>
    <w:rsid w:val="7F2B2714"/>
    <w:rsid w:val="7F370082"/>
    <w:rsid w:val="7F466E77"/>
    <w:rsid w:val="7F5130BB"/>
    <w:rsid w:val="7F553901"/>
    <w:rsid w:val="7F6D1240"/>
    <w:rsid w:val="7F747769"/>
    <w:rsid w:val="7F772B76"/>
    <w:rsid w:val="7F8E10CA"/>
    <w:rsid w:val="7FCC39AA"/>
    <w:rsid w:val="7FCF6A12"/>
    <w:rsid w:val="7FD55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272" w:lineRule="exact"/>
    </w:pPr>
    <w:rPr>
      <w:rFonts w:ascii="宋体" w:hAnsi="宋体" w:eastAsia="宋体" w:cs="宋体"/>
      <w:sz w:val="22"/>
      <w:szCs w:val="22"/>
      <w:lang w:val="en-US" w:eastAsia="en-US" w:bidi="ar-SA"/>
    </w:rPr>
  </w:style>
  <w:style w:type="paragraph" w:styleId="3">
    <w:name w:val="heading 1"/>
    <w:basedOn w:val="1"/>
    <w:next w:val="1"/>
    <w:link w:val="41"/>
    <w:qFormat/>
    <w:uiPriority w:val="0"/>
    <w:pPr>
      <w:spacing w:line="360" w:lineRule="auto"/>
      <w:jc w:val="center"/>
      <w:outlineLvl w:val="0"/>
    </w:pPr>
    <w:rPr>
      <w:rFonts w:ascii="Microsoft JhengHei" w:hAnsi="Microsoft JhengHei" w:cs="Times New Roman"/>
      <w:b/>
      <w:bCs/>
      <w:sz w:val="32"/>
      <w:szCs w:val="44"/>
    </w:rPr>
  </w:style>
  <w:style w:type="paragraph" w:styleId="2">
    <w:name w:val="heading 2"/>
    <w:basedOn w:val="1"/>
    <w:next w:val="1"/>
    <w:qFormat/>
    <w:uiPriority w:val="0"/>
    <w:pPr>
      <w:adjustRightInd w:val="0"/>
      <w:spacing w:line="360" w:lineRule="auto"/>
      <w:jc w:val="center"/>
      <w:outlineLvl w:val="1"/>
    </w:pPr>
    <w:rPr>
      <w:rFonts w:cs="Microsoft JhengHei"/>
      <w:b/>
      <w:sz w:val="24"/>
      <w:szCs w:val="32"/>
    </w:rPr>
  </w:style>
  <w:style w:type="paragraph" w:styleId="4">
    <w:name w:val="heading 3"/>
    <w:basedOn w:val="1"/>
    <w:next w:val="1"/>
    <w:link w:val="64"/>
    <w:qFormat/>
    <w:uiPriority w:val="0"/>
    <w:pPr>
      <w:spacing w:line="360" w:lineRule="auto"/>
      <w:outlineLvl w:val="2"/>
    </w:pPr>
    <w:rPr>
      <w:b/>
      <w:kern w:val="2"/>
      <w:sz w:val="24"/>
      <w:szCs w:val="28"/>
      <w:lang w:eastAsia="zh-CN"/>
    </w:rPr>
  </w:style>
  <w:style w:type="paragraph" w:styleId="5">
    <w:name w:val="heading 4"/>
    <w:basedOn w:val="1"/>
    <w:next w:val="1"/>
    <w:qFormat/>
    <w:uiPriority w:val="0"/>
    <w:pPr>
      <w:adjustRightInd w:val="0"/>
      <w:spacing w:line="360" w:lineRule="auto"/>
      <w:ind w:left="522" w:right="21"/>
      <w:outlineLvl w:val="3"/>
    </w:pPr>
    <w:rPr>
      <w:rFonts w:ascii="Times New Roman" w:hAnsi="Times New Roman" w:cs="Times New Roman" w:eastAsiaTheme="minorEastAsia"/>
      <w:b/>
      <w:bCs/>
      <w:sz w:val="21"/>
      <w:szCs w:val="21"/>
    </w:rPr>
  </w:style>
  <w:style w:type="paragraph" w:styleId="6">
    <w:name w:val="heading 5"/>
    <w:basedOn w:val="1"/>
    <w:next w:val="1"/>
    <w:link w:val="49"/>
    <w:qFormat/>
    <w:uiPriority w:val="0"/>
    <w:pPr>
      <w:keepNext/>
      <w:keepLines/>
      <w:spacing w:before="280" w:after="290" w:line="372" w:lineRule="auto"/>
      <w:jc w:val="both"/>
      <w:outlineLvl w:val="4"/>
    </w:pPr>
    <w:rPr>
      <w:rFonts w:ascii="Calibri" w:hAnsi="Calibri" w:cs="Times New Roman"/>
      <w:b/>
      <w:bCs/>
      <w:kern w:val="2"/>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jc w:val="both"/>
    </w:pPr>
    <w:rPr>
      <w:rFonts w:ascii="等线" w:hAnsi="等线" w:eastAsia="等线" w:cs="Times New Roman"/>
      <w:kern w:val="2"/>
      <w:sz w:val="21"/>
      <w:lang w:eastAsia="zh-CN"/>
    </w:rPr>
  </w:style>
  <w:style w:type="paragraph" w:styleId="8">
    <w:name w:val="index 8"/>
    <w:basedOn w:val="1"/>
    <w:next w:val="1"/>
    <w:semiHidden/>
    <w:qFormat/>
    <w:uiPriority w:val="0"/>
    <w:pPr>
      <w:widowControl/>
      <w:adjustRightInd w:val="0"/>
      <w:spacing w:line="240" w:lineRule="atLeast"/>
      <w:ind w:left="1920" w:hanging="240"/>
      <w:textAlignment w:val="baseline"/>
    </w:pPr>
    <w:rPr>
      <w:rFonts w:ascii="Times New Roman" w:hAnsi="Times New Roman" w:eastAsia="仿宋_GB2312" w:cs="Times New Roman"/>
      <w:sz w:val="24"/>
      <w:szCs w:val="21"/>
      <w:lang w:bidi="en-US"/>
    </w:rPr>
  </w:style>
  <w:style w:type="paragraph" w:styleId="9">
    <w:name w:val="Normal Indent"/>
    <w:basedOn w:val="1"/>
    <w:next w:val="1"/>
    <w:unhideWhenUsed/>
    <w:qFormat/>
    <w:uiPriority w:val="99"/>
    <w:pPr>
      <w:ind w:firstLine="420" w:firstLineChars="200"/>
      <w:jc w:val="both"/>
    </w:pPr>
    <w:rPr>
      <w:rFonts w:ascii="Calibri" w:hAnsi="Calibri" w:cs="Times New Roman"/>
      <w:kern w:val="2"/>
      <w:sz w:val="21"/>
      <w:lang w:eastAsia="zh-CN"/>
    </w:rPr>
  </w:style>
  <w:style w:type="paragraph" w:styleId="10">
    <w:name w:val="Document Map"/>
    <w:basedOn w:val="1"/>
    <w:link w:val="66"/>
    <w:unhideWhenUsed/>
    <w:qFormat/>
    <w:uiPriority w:val="99"/>
    <w:rPr>
      <w:rFonts w:cs="Times New Roman"/>
      <w:sz w:val="18"/>
      <w:szCs w:val="18"/>
    </w:rPr>
  </w:style>
  <w:style w:type="paragraph" w:styleId="11">
    <w:name w:val="annotation text"/>
    <w:basedOn w:val="1"/>
    <w:link w:val="47"/>
    <w:unhideWhenUsed/>
    <w:qFormat/>
    <w:uiPriority w:val="99"/>
    <w:rPr>
      <w:rFonts w:cs="Times New Roman"/>
      <w:sz w:val="20"/>
      <w:szCs w:val="20"/>
    </w:rPr>
  </w:style>
  <w:style w:type="paragraph" w:styleId="12">
    <w:name w:val="Body Text"/>
    <w:basedOn w:val="1"/>
    <w:next w:val="13"/>
    <w:qFormat/>
    <w:uiPriority w:val="0"/>
    <w:rPr>
      <w:sz w:val="21"/>
      <w:szCs w:val="21"/>
    </w:rPr>
  </w:style>
  <w:style w:type="paragraph" w:styleId="13">
    <w:name w:val="Body Text 2"/>
    <w:basedOn w:val="1"/>
    <w:next w:val="12"/>
    <w:qFormat/>
    <w:uiPriority w:val="99"/>
    <w:pPr>
      <w:adjustRightInd w:val="0"/>
      <w:snapToGrid w:val="0"/>
      <w:spacing w:line="480" w:lineRule="atLeast"/>
    </w:pPr>
    <w:rPr>
      <w:sz w:val="28"/>
      <w:szCs w:val="28"/>
    </w:rPr>
  </w:style>
  <w:style w:type="paragraph" w:styleId="14">
    <w:name w:val="Body Text Indent"/>
    <w:basedOn w:val="1"/>
    <w:next w:val="15"/>
    <w:qFormat/>
    <w:uiPriority w:val="0"/>
    <w:pPr>
      <w:ind w:firstLine="525"/>
    </w:pPr>
    <w:rPr>
      <w:rFonts w:ascii="仿宋_GB2312" w:hAnsi="Calibri" w:eastAsia="仿宋_GB2312" w:cs="Times New Roman"/>
      <w:sz w:val="32"/>
    </w:rPr>
  </w:style>
  <w:style w:type="paragraph" w:styleId="15">
    <w:name w:val="envelope return"/>
    <w:basedOn w:val="1"/>
    <w:unhideWhenUsed/>
    <w:qFormat/>
    <w:uiPriority w:val="99"/>
    <w:pPr>
      <w:snapToGrid w:val="0"/>
    </w:pPr>
    <w:rPr>
      <w:rFonts w:ascii="Arial" w:hAnsi="Arial"/>
    </w:rPr>
  </w:style>
  <w:style w:type="paragraph" w:styleId="16">
    <w:name w:val="Block Text"/>
    <w:basedOn w:val="1"/>
    <w:qFormat/>
    <w:uiPriority w:val="0"/>
    <w:pPr>
      <w:ind w:left="792" w:leftChars="377" w:right="254" w:rightChars="121"/>
    </w:pPr>
    <w:rPr>
      <w:sz w:val="24"/>
    </w:rPr>
  </w:style>
  <w:style w:type="paragraph" w:styleId="17">
    <w:name w:val="toc 5"/>
    <w:basedOn w:val="1"/>
    <w:next w:val="1"/>
    <w:unhideWhenUsed/>
    <w:qFormat/>
    <w:uiPriority w:val="39"/>
    <w:pPr>
      <w:tabs>
        <w:tab w:val="right" w:leader="dot" w:pos="8296"/>
      </w:tabs>
      <w:ind w:left="1050" w:leftChars="500"/>
    </w:pPr>
  </w:style>
  <w:style w:type="paragraph" w:styleId="18">
    <w:name w:val="toc 3"/>
    <w:basedOn w:val="1"/>
    <w:next w:val="1"/>
    <w:qFormat/>
    <w:uiPriority w:val="39"/>
    <w:pPr>
      <w:ind w:left="940"/>
    </w:pPr>
    <w:rPr>
      <w:sz w:val="21"/>
      <w:szCs w:val="21"/>
    </w:rPr>
  </w:style>
  <w:style w:type="paragraph" w:styleId="19">
    <w:name w:val="Plain Text"/>
    <w:basedOn w:val="1"/>
    <w:link w:val="48"/>
    <w:qFormat/>
    <w:uiPriority w:val="99"/>
    <w:pPr>
      <w:jc w:val="both"/>
    </w:pPr>
    <w:rPr>
      <w:rFonts w:hAnsi="Courier New" w:cs="Times New Roman"/>
      <w:sz w:val="21"/>
      <w:szCs w:val="21"/>
    </w:rPr>
  </w:style>
  <w:style w:type="paragraph" w:styleId="20">
    <w:name w:val="toc 8"/>
    <w:basedOn w:val="1"/>
    <w:next w:val="1"/>
    <w:unhideWhenUsed/>
    <w:qFormat/>
    <w:uiPriority w:val="39"/>
    <w:pPr>
      <w:ind w:left="2940" w:leftChars="1400"/>
      <w:jc w:val="both"/>
    </w:pPr>
    <w:rPr>
      <w:rFonts w:ascii="等线" w:hAnsi="等线" w:eastAsia="等线" w:cs="Times New Roman"/>
      <w:kern w:val="2"/>
      <w:sz w:val="21"/>
      <w:lang w:eastAsia="zh-CN"/>
    </w:rPr>
  </w:style>
  <w:style w:type="paragraph" w:styleId="21">
    <w:name w:val="Balloon Text"/>
    <w:basedOn w:val="1"/>
    <w:link w:val="57"/>
    <w:unhideWhenUsed/>
    <w:qFormat/>
    <w:uiPriority w:val="99"/>
    <w:rPr>
      <w:rFonts w:cs="Times New Roman"/>
      <w:sz w:val="18"/>
      <w:szCs w:val="18"/>
    </w:rPr>
  </w:style>
  <w:style w:type="paragraph" w:styleId="22">
    <w:name w:val="footer"/>
    <w:basedOn w:val="1"/>
    <w:link w:val="61"/>
    <w:unhideWhenUsed/>
    <w:qFormat/>
    <w:uiPriority w:val="99"/>
    <w:pPr>
      <w:tabs>
        <w:tab w:val="center" w:pos="4153"/>
        <w:tab w:val="right" w:pos="8306"/>
      </w:tabs>
      <w:snapToGrid w:val="0"/>
    </w:pPr>
    <w:rPr>
      <w:rFonts w:cs="Times New Roman"/>
      <w:sz w:val="18"/>
      <w:szCs w:val="18"/>
    </w:rPr>
  </w:style>
  <w:style w:type="paragraph" w:styleId="23">
    <w:name w:val="header"/>
    <w:basedOn w:val="1"/>
    <w:link w:val="63"/>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4">
    <w:name w:val="toc 1"/>
    <w:basedOn w:val="1"/>
    <w:next w:val="1"/>
    <w:qFormat/>
    <w:uiPriority w:val="39"/>
    <w:pPr>
      <w:ind w:left="100"/>
    </w:pPr>
    <w:rPr>
      <w:sz w:val="21"/>
      <w:szCs w:val="21"/>
    </w:rPr>
  </w:style>
  <w:style w:type="paragraph" w:styleId="25">
    <w:name w:val="toc 4"/>
    <w:basedOn w:val="1"/>
    <w:next w:val="1"/>
    <w:qFormat/>
    <w:uiPriority w:val="39"/>
    <w:pPr>
      <w:ind w:left="1260" w:leftChars="600"/>
      <w:jc w:val="both"/>
    </w:pPr>
    <w:rPr>
      <w:rFonts w:ascii="Times New Roman" w:hAnsi="Times New Roman" w:cs="Times New Roman"/>
      <w:kern w:val="2"/>
      <w:sz w:val="21"/>
      <w:szCs w:val="24"/>
      <w:lang w:eastAsia="zh-CN"/>
    </w:rPr>
  </w:style>
  <w:style w:type="paragraph" w:styleId="26">
    <w:name w:val="toc 6"/>
    <w:basedOn w:val="1"/>
    <w:next w:val="1"/>
    <w:unhideWhenUsed/>
    <w:qFormat/>
    <w:uiPriority w:val="39"/>
    <w:pPr>
      <w:ind w:left="2100" w:leftChars="1000"/>
      <w:jc w:val="both"/>
    </w:pPr>
    <w:rPr>
      <w:rFonts w:ascii="等线" w:hAnsi="等线" w:eastAsia="等线" w:cs="Times New Roman"/>
      <w:kern w:val="2"/>
      <w:sz w:val="21"/>
      <w:lang w:eastAsia="zh-CN"/>
    </w:rPr>
  </w:style>
  <w:style w:type="paragraph" w:styleId="27">
    <w:name w:val="Body Text Indent 3"/>
    <w:basedOn w:val="1"/>
    <w:qFormat/>
    <w:uiPriority w:val="0"/>
    <w:pPr>
      <w:spacing w:after="120" w:line="240" w:lineRule="auto"/>
      <w:ind w:left="420" w:leftChars="200"/>
    </w:pPr>
    <w:rPr>
      <w:sz w:val="16"/>
      <w:szCs w:val="16"/>
    </w:rPr>
  </w:style>
  <w:style w:type="paragraph" w:styleId="28">
    <w:name w:val="table of figures"/>
    <w:basedOn w:val="1"/>
    <w:next w:val="1"/>
    <w:qFormat/>
    <w:uiPriority w:val="0"/>
  </w:style>
  <w:style w:type="paragraph" w:styleId="29">
    <w:name w:val="toc 2"/>
    <w:basedOn w:val="1"/>
    <w:next w:val="1"/>
    <w:qFormat/>
    <w:uiPriority w:val="39"/>
    <w:pPr>
      <w:ind w:left="520"/>
    </w:pPr>
    <w:rPr>
      <w:sz w:val="21"/>
      <w:szCs w:val="21"/>
    </w:rPr>
  </w:style>
  <w:style w:type="paragraph" w:styleId="30">
    <w:name w:val="toc 9"/>
    <w:basedOn w:val="1"/>
    <w:next w:val="1"/>
    <w:unhideWhenUsed/>
    <w:qFormat/>
    <w:uiPriority w:val="39"/>
    <w:pPr>
      <w:ind w:left="3360" w:leftChars="1600"/>
      <w:jc w:val="both"/>
    </w:pPr>
    <w:rPr>
      <w:rFonts w:ascii="等线" w:hAnsi="等线" w:eastAsia="等线" w:cs="Times New Roman"/>
      <w:kern w:val="2"/>
      <w:sz w:val="21"/>
      <w:lang w:eastAsia="zh-CN"/>
    </w:rPr>
  </w:style>
  <w:style w:type="paragraph" w:styleId="31">
    <w:name w:val="Normal (Web)"/>
    <w:basedOn w:val="1"/>
    <w:qFormat/>
    <w:uiPriority w:val="0"/>
    <w:pPr>
      <w:spacing w:before="100" w:beforeAutospacing="1" w:after="100" w:afterAutospacing="1"/>
    </w:pPr>
    <w:rPr>
      <w:rFonts w:ascii="Times New Roman" w:hAnsi="Times New Roman" w:cs="Times New Roman"/>
      <w:sz w:val="24"/>
      <w:szCs w:val="24"/>
      <w:lang w:eastAsia="zh-CN"/>
    </w:rPr>
  </w:style>
  <w:style w:type="paragraph" w:styleId="32">
    <w:name w:val="annotation subject"/>
    <w:basedOn w:val="11"/>
    <w:next w:val="11"/>
    <w:link w:val="50"/>
    <w:unhideWhenUsed/>
    <w:qFormat/>
    <w:uiPriority w:val="99"/>
    <w:rPr>
      <w:b/>
      <w:bCs/>
      <w:sz w:val="22"/>
      <w:szCs w:val="22"/>
    </w:rPr>
  </w:style>
  <w:style w:type="paragraph" w:styleId="33">
    <w:name w:val="Body Text First Indent"/>
    <w:basedOn w:val="12"/>
    <w:next w:val="34"/>
    <w:qFormat/>
    <w:uiPriority w:val="0"/>
    <w:pPr>
      <w:tabs>
        <w:tab w:val="left" w:pos="720"/>
      </w:tabs>
      <w:spacing w:after="120" w:line="312" w:lineRule="atLeast"/>
      <w:ind w:firstLine="420"/>
    </w:pPr>
    <w:rPr>
      <w:rFonts w:ascii="Times New Roman"/>
    </w:rPr>
  </w:style>
  <w:style w:type="paragraph" w:styleId="34">
    <w:name w:val="Body Text First Indent 2"/>
    <w:basedOn w:val="14"/>
    <w:next w:val="1"/>
    <w:qFormat/>
    <w:uiPriority w:val="0"/>
    <w:pPr>
      <w:spacing w:after="120" w:line="312" w:lineRule="atLeast"/>
      <w:ind w:left="420" w:firstLine="210"/>
      <w:jc w:val="both"/>
    </w:pPr>
    <w:rPr>
      <w:rFonts w:ascii="Times New Roman"/>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标题 1 字符"/>
    <w:link w:val="3"/>
    <w:qFormat/>
    <w:uiPriority w:val="0"/>
    <w:rPr>
      <w:rFonts w:ascii="Microsoft JhengHei" w:hAnsi="Microsoft JhengHei"/>
      <w:b/>
      <w:bCs/>
      <w:sz w:val="32"/>
      <w:szCs w:val="44"/>
      <w:lang w:eastAsia="en-US"/>
    </w:rPr>
  </w:style>
  <w:style w:type="character" w:customStyle="1" w:styleId="42">
    <w:name w:val="标题 3 字符"/>
    <w:qFormat/>
    <w:uiPriority w:val="0"/>
    <w:rPr>
      <w:rFonts w:ascii="宋体" w:hAnsi="宋体" w:cs="宋体"/>
      <w:sz w:val="28"/>
      <w:szCs w:val="28"/>
      <w:lang w:eastAsia="en-US"/>
    </w:rPr>
  </w:style>
  <w:style w:type="character" w:customStyle="1" w:styleId="43">
    <w:name w:val="标题 1 Char"/>
    <w:qFormat/>
    <w:uiPriority w:val="0"/>
    <w:rPr>
      <w:rFonts w:ascii="Microsoft JhengHei" w:hAnsi="Microsoft JhengHei" w:eastAsia="Microsoft JhengHei" w:cs="Microsoft JhengHei"/>
      <w:b/>
      <w:bCs/>
      <w:sz w:val="44"/>
      <w:szCs w:val="44"/>
    </w:rPr>
  </w:style>
  <w:style w:type="character" w:customStyle="1" w:styleId="44">
    <w:name w:val="标题 3 Char"/>
    <w:qFormat/>
    <w:uiPriority w:val="0"/>
    <w:rPr>
      <w:rFonts w:ascii="Calibri" w:hAnsi="Calibri" w:eastAsia="黑体" w:cs="宋体"/>
      <w:kern w:val="2"/>
      <w:sz w:val="30"/>
      <w:szCs w:val="28"/>
      <w:lang w:val="en-US" w:eastAsia="zh-CN" w:bidi="ar-SA"/>
    </w:rPr>
  </w:style>
  <w:style w:type="paragraph" w:customStyle="1" w:styleId="45">
    <w:name w:val="无间隔1"/>
    <w:basedOn w:val="1"/>
    <w:qFormat/>
    <w:uiPriority w:val="1"/>
    <w:pPr>
      <w:widowControl/>
    </w:pPr>
    <w:rPr>
      <w:rFonts w:ascii="Times New Roman" w:hAnsi="Times New Roman" w:eastAsia="仿宋_GB2312" w:cs="Times New Roman"/>
      <w:sz w:val="24"/>
      <w:lang w:bidi="en-US"/>
    </w:rPr>
  </w:style>
  <w:style w:type="character" w:customStyle="1" w:styleId="46">
    <w:name w:val="纯文本 字符1"/>
    <w:qFormat/>
    <w:uiPriority w:val="99"/>
    <w:rPr>
      <w:rFonts w:ascii="宋体" w:hAnsi="Courier New" w:eastAsia="宋体" w:cs="Courier New"/>
      <w:szCs w:val="21"/>
    </w:rPr>
  </w:style>
  <w:style w:type="character" w:customStyle="1" w:styleId="47">
    <w:name w:val="批注文字 字符"/>
    <w:link w:val="11"/>
    <w:semiHidden/>
    <w:qFormat/>
    <w:uiPriority w:val="99"/>
    <w:rPr>
      <w:rFonts w:ascii="宋体" w:hAnsi="宋体" w:eastAsia="宋体" w:cs="宋体"/>
    </w:rPr>
  </w:style>
  <w:style w:type="character" w:customStyle="1" w:styleId="48">
    <w:name w:val="纯文本 字符"/>
    <w:link w:val="19"/>
    <w:qFormat/>
    <w:uiPriority w:val="99"/>
    <w:rPr>
      <w:rFonts w:ascii="宋体" w:hAnsi="Courier New" w:eastAsia="宋体" w:cs="Courier New"/>
      <w:sz w:val="21"/>
      <w:szCs w:val="21"/>
    </w:rPr>
  </w:style>
  <w:style w:type="character" w:customStyle="1" w:styleId="49">
    <w:name w:val="标题 5 字符"/>
    <w:link w:val="6"/>
    <w:qFormat/>
    <w:uiPriority w:val="0"/>
    <w:rPr>
      <w:b/>
      <w:bCs/>
      <w:kern w:val="2"/>
      <w:sz w:val="28"/>
      <w:szCs w:val="28"/>
    </w:rPr>
  </w:style>
  <w:style w:type="character" w:customStyle="1" w:styleId="50">
    <w:name w:val="批注主题 字符"/>
    <w:link w:val="32"/>
    <w:semiHidden/>
    <w:qFormat/>
    <w:uiPriority w:val="99"/>
    <w:rPr>
      <w:rFonts w:ascii="宋体" w:hAnsi="宋体" w:eastAsia="宋体" w:cs="宋体"/>
      <w:b/>
      <w:bCs/>
      <w:sz w:val="22"/>
      <w:szCs w:val="22"/>
      <w:lang w:eastAsia="en-US"/>
    </w:rPr>
  </w:style>
  <w:style w:type="character" w:customStyle="1" w:styleId="51">
    <w:name w:val="样式 标题 3 + 宋体 五号 Char"/>
    <w:link w:val="52"/>
    <w:qFormat/>
    <w:uiPriority w:val="0"/>
    <w:rPr>
      <w:rFonts w:ascii="宋体" w:hAnsi="宋体" w:eastAsia="宋体" w:cs="宋体"/>
      <w:b/>
      <w:kern w:val="0"/>
      <w:sz w:val="21"/>
      <w:szCs w:val="28"/>
      <w:lang w:val="en-US" w:eastAsia="zh-CN" w:bidi="ar-SA"/>
    </w:rPr>
  </w:style>
  <w:style w:type="paragraph" w:customStyle="1" w:styleId="52">
    <w:name w:val="样式 标题 3 + 宋体 五号"/>
    <w:basedOn w:val="4"/>
    <w:link w:val="51"/>
    <w:qFormat/>
    <w:uiPriority w:val="0"/>
    <w:rPr>
      <w:b w:val="0"/>
      <w:kern w:val="0"/>
      <w:sz w:val="21"/>
    </w:rPr>
  </w:style>
  <w:style w:type="character" w:customStyle="1" w:styleId="53">
    <w:name w:val="样式 标题 2 +1 Char"/>
    <w:link w:val="54"/>
    <w:qFormat/>
    <w:uiPriority w:val="0"/>
    <w:rPr>
      <w:sz w:val="24"/>
    </w:rPr>
  </w:style>
  <w:style w:type="paragraph" w:customStyle="1" w:styleId="54">
    <w:name w:val="样式 标题 2 +1"/>
    <w:basedOn w:val="2"/>
    <w:link w:val="53"/>
    <w:qFormat/>
    <w:uiPriority w:val="0"/>
    <w:rPr>
      <w:rFonts w:ascii="Calibri" w:hAnsi="Calibri" w:cs="Times New Roman"/>
      <w:szCs w:val="20"/>
    </w:rPr>
  </w:style>
  <w:style w:type="character" w:customStyle="1" w:styleId="55">
    <w:name w:val="未处理的提及1"/>
    <w:unhideWhenUsed/>
    <w:qFormat/>
    <w:uiPriority w:val="99"/>
    <w:rPr>
      <w:color w:val="605E5C"/>
      <w:shd w:val="clear" w:color="auto" w:fill="E1DFDD"/>
    </w:rPr>
  </w:style>
  <w:style w:type="character" w:customStyle="1" w:styleId="56">
    <w:name w:val="样式 超链接 + 仿宋_GB2312 小四 加粗"/>
    <w:qFormat/>
    <w:uiPriority w:val="0"/>
    <w:rPr>
      <w:rFonts w:ascii="仿宋_GB2312" w:hAnsi="仿宋_GB2312" w:eastAsia="黑体"/>
      <w:b/>
      <w:bCs/>
      <w:color w:val="auto"/>
      <w:sz w:val="24"/>
      <w:u w:val="none"/>
    </w:rPr>
  </w:style>
  <w:style w:type="character" w:customStyle="1" w:styleId="57">
    <w:name w:val="批注框文本 字符"/>
    <w:link w:val="21"/>
    <w:semiHidden/>
    <w:qFormat/>
    <w:uiPriority w:val="99"/>
    <w:rPr>
      <w:rFonts w:ascii="宋体" w:hAnsi="宋体" w:eastAsia="宋体" w:cs="宋体"/>
      <w:sz w:val="18"/>
      <w:szCs w:val="18"/>
    </w:rPr>
  </w:style>
  <w:style w:type="character" w:customStyle="1" w:styleId="58">
    <w:name w:val="样式 样式 标题 2 + 两端对齐 + 五号 Char"/>
    <w:link w:val="59"/>
    <w:qFormat/>
    <w:uiPriority w:val="0"/>
    <w:rPr>
      <w:sz w:val="24"/>
    </w:rPr>
  </w:style>
  <w:style w:type="paragraph" w:customStyle="1" w:styleId="59">
    <w:name w:val="样式 样式 标题 2 + 两端对齐 + 五号"/>
    <w:basedOn w:val="60"/>
    <w:link w:val="58"/>
    <w:qFormat/>
    <w:uiPriority w:val="0"/>
    <w:rPr>
      <w:rFonts w:ascii="Calibri" w:hAnsi="Calibri" w:eastAsia="宋体" w:cs="Times New Roman"/>
      <w:b/>
      <w:bCs w:val="0"/>
      <w:kern w:val="0"/>
      <w:sz w:val="24"/>
      <w:szCs w:val="20"/>
    </w:rPr>
  </w:style>
  <w:style w:type="paragraph" w:customStyle="1" w:styleId="60">
    <w:name w:val="样式 标题 2 + 两端对齐"/>
    <w:basedOn w:val="2"/>
    <w:qFormat/>
    <w:uiPriority w:val="0"/>
    <w:pPr>
      <w:jc w:val="both"/>
    </w:pPr>
    <w:rPr>
      <w:rFonts w:ascii="黑体" w:hAnsi="Times New Roman" w:eastAsia="黑体" w:cs="宋体"/>
      <w:b w:val="0"/>
      <w:bCs/>
      <w:kern w:val="2"/>
      <w:sz w:val="21"/>
      <w:szCs w:val="30"/>
      <w:lang w:eastAsia="zh-CN"/>
    </w:rPr>
  </w:style>
  <w:style w:type="character" w:customStyle="1" w:styleId="61">
    <w:name w:val="页脚 字符"/>
    <w:link w:val="22"/>
    <w:qFormat/>
    <w:uiPriority w:val="99"/>
    <w:rPr>
      <w:rFonts w:ascii="宋体" w:hAnsi="宋体" w:eastAsia="宋体" w:cs="宋体"/>
      <w:sz w:val="18"/>
      <w:szCs w:val="18"/>
    </w:rPr>
  </w:style>
  <w:style w:type="character" w:customStyle="1" w:styleId="62">
    <w:name w:val="纯文本 Char"/>
    <w:qFormat/>
    <w:uiPriority w:val="0"/>
    <w:rPr>
      <w:rFonts w:ascii="宋体" w:hAnsi="Courier New"/>
      <w:kern w:val="2"/>
      <w:sz w:val="21"/>
    </w:rPr>
  </w:style>
  <w:style w:type="character" w:customStyle="1" w:styleId="63">
    <w:name w:val="页眉 字符"/>
    <w:link w:val="23"/>
    <w:qFormat/>
    <w:uiPriority w:val="99"/>
    <w:rPr>
      <w:rFonts w:ascii="宋体" w:hAnsi="宋体" w:eastAsia="宋体" w:cs="宋体"/>
      <w:sz w:val="18"/>
      <w:szCs w:val="18"/>
    </w:rPr>
  </w:style>
  <w:style w:type="character" w:customStyle="1" w:styleId="64">
    <w:name w:val="标题 3 字符1"/>
    <w:link w:val="4"/>
    <w:qFormat/>
    <w:uiPriority w:val="0"/>
    <w:rPr>
      <w:rFonts w:ascii="宋体" w:hAnsi="宋体" w:cs="宋体"/>
      <w:b/>
      <w:kern w:val="2"/>
      <w:sz w:val="24"/>
      <w:szCs w:val="28"/>
    </w:rPr>
  </w:style>
  <w:style w:type="character" w:customStyle="1" w:styleId="65">
    <w:name w:val="批注文字 Char"/>
    <w:qFormat/>
    <w:uiPriority w:val="0"/>
    <w:rPr>
      <w:kern w:val="2"/>
      <w:sz w:val="21"/>
    </w:rPr>
  </w:style>
  <w:style w:type="character" w:customStyle="1" w:styleId="66">
    <w:name w:val="文档结构图 字符"/>
    <w:link w:val="10"/>
    <w:semiHidden/>
    <w:qFormat/>
    <w:uiPriority w:val="99"/>
    <w:rPr>
      <w:rFonts w:ascii="宋体" w:hAnsi="宋体" w:eastAsia="宋体" w:cs="宋体"/>
      <w:sz w:val="18"/>
      <w:szCs w:val="18"/>
    </w:rPr>
  </w:style>
  <w:style w:type="paragraph" w:customStyle="1" w:styleId="67">
    <w:name w:val="样式 标题 2 + Times New Roman 四号 非加粗 段前: 5 磅 段后: 0 磅 行距: 固定值 20..."/>
    <w:basedOn w:val="2"/>
    <w:qFormat/>
    <w:uiPriority w:val="0"/>
    <w:pPr>
      <w:spacing w:before="100" w:line="400" w:lineRule="exact"/>
    </w:pPr>
    <w:rPr>
      <w:rFonts w:ascii="Times New Roman" w:hAnsi="Times New Roman" w:cs="宋体"/>
      <w:sz w:val="28"/>
      <w:szCs w:val="20"/>
    </w:rPr>
  </w:style>
  <w:style w:type="paragraph" w:customStyle="1" w:styleId="68">
    <w:name w:val="样式 标题 2 + 四号"/>
    <w:basedOn w:val="2"/>
    <w:qFormat/>
    <w:uiPriority w:val="0"/>
    <w:rPr>
      <w:rFonts w:ascii="黑体" w:hAnsi="Times New Roman" w:eastAsia="黑体" w:cs="Times New Roman"/>
      <w:b w:val="0"/>
      <w:kern w:val="2"/>
      <w:szCs w:val="30"/>
      <w:lang w:eastAsia="zh-CN"/>
    </w:rPr>
  </w:style>
  <w:style w:type="paragraph" w:styleId="69">
    <w:name w:val="List Paragraph"/>
    <w:basedOn w:val="1"/>
    <w:qFormat/>
    <w:uiPriority w:val="34"/>
  </w:style>
  <w:style w:type="paragraph" w:customStyle="1" w:styleId="70">
    <w:name w:val="cucd-3"/>
    <w:next w:val="71"/>
    <w:qFormat/>
    <w:uiPriority w:val="0"/>
    <w:pPr>
      <w:tabs>
        <w:tab w:val="left" w:pos="709"/>
      </w:tabs>
      <w:spacing w:line="360" w:lineRule="auto"/>
      <w:ind w:left="709" w:hanging="709"/>
      <w:outlineLvl w:val="2"/>
    </w:pPr>
    <w:rPr>
      <w:rFonts w:ascii="Calibri" w:hAnsi="Calibri" w:eastAsia="宋体" w:cs="Times New Roman"/>
      <w:b/>
      <w:kern w:val="2"/>
      <w:sz w:val="28"/>
      <w:szCs w:val="24"/>
      <w:lang w:val="en-US" w:eastAsia="zh-CN" w:bidi="ar-SA"/>
    </w:rPr>
  </w:style>
  <w:style w:type="paragraph" w:customStyle="1" w:styleId="71">
    <w:name w:val="cucd-4"/>
    <w:next w:val="72"/>
    <w:qFormat/>
    <w:uiPriority w:val="0"/>
    <w:pPr>
      <w:tabs>
        <w:tab w:val="left" w:pos="1702"/>
      </w:tabs>
      <w:spacing w:line="360" w:lineRule="auto"/>
      <w:ind w:left="1702" w:hanging="851"/>
      <w:outlineLvl w:val="3"/>
    </w:pPr>
    <w:rPr>
      <w:rFonts w:ascii="Calibri" w:hAnsi="Calibri" w:eastAsia="宋体" w:cs="Times New Roman"/>
      <w:b/>
      <w:kern w:val="2"/>
      <w:sz w:val="24"/>
      <w:szCs w:val="24"/>
      <w:lang w:val="en-US" w:eastAsia="zh-CN" w:bidi="ar-SA"/>
    </w:rPr>
  </w:style>
  <w:style w:type="paragraph" w:customStyle="1" w:styleId="72">
    <w:name w:val="cucd-0"/>
    <w:qFormat/>
    <w:uiPriority w:val="0"/>
    <w:pPr>
      <w:spacing w:line="360" w:lineRule="auto"/>
      <w:ind w:firstLine="480" w:firstLineChars="200"/>
    </w:pPr>
    <w:rPr>
      <w:rFonts w:ascii="Calibri" w:hAnsi="Calibri" w:eastAsia="宋体" w:cs="Times New Roman"/>
      <w:kern w:val="2"/>
      <w:sz w:val="24"/>
      <w:szCs w:val="24"/>
      <w:lang w:val="en-US" w:eastAsia="zh-CN" w:bidi="ar-SA"/>
    </w:rPr>
  </w:style>
  <w:style w:type="paragraph" w:customStyle="1" w:styleId="73">
    <w:name w:val="正文 New New"/>
    <w:qFormat/>
    <w:uiPriority w:val="0"/>
    <w:pPr>
      <w:widowControl w:val="0"/>
      <w:spacing w:line="272" w:lineRule="exact"/>
      <w:jc w:val="both"/>
    </w:pPr>
    <w:rPr>
      <w:rFonts w:ascii="Calibri" w:hAnsi="Calibri" w:eastAsia="宋体" w:cs="Times New Roman"/>
      <w:kern w:val="2"/>
      <w:sz w:val="21"/>
      <w:szCs w:val="24"/>
      <w:lang w:val="en-US" w:eastAsia="zh-CN" w:bidi="ar-SA"/>
    </w:rPr>
  </w:style>
  <w:style w:type="paragraph" w:customStyle="1" w:styleId="74">
    <w:name w:val="TOC 标题1"/>
    <w:basedOn w:val="3"/>
    <w:next w:val="1"/>
    <w:unhideWhenUsed/>
    <w:qFormat/>
    <w:uiPriority w:val="39"/>
    <w:pPr>
      <w:keepNext/>
      <w:keepLines/>
      <w:widowControl/>
      <w:spacing w:before="480" w:line="276" w:lineRule="auto"/>
      <w:outlineLvl w:val="9"/>
    </w:pPr>
    <w:rPr>
      <w:rFonts w:ascii="Cambria" w:hAnsi="Cambria"/>
      <w:color w:val="365F91"/>
      <w:sz w:val="28"/>
      <w:szCs w:val="28"/>
      <w:lang w:eastAsia="zh-CN"/>
    </w:rPr>
  </w:style>
  <w:style w:type="paragraph" w:customStyle="1" w:styleId="75">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76">
    <w:name w:val="WPSOffice手动目录 2"/>
    <w:qFormat/>
    <w:uiPriority w:val="0"/>
    <w:pPr>
      <w:spacing w:line="272" w:lineRule="exact"/>
      <w:ind w:left="200" w:leftChars="200"/>
    </w:pPr>
    <w:rPr>
      <w:rFonts w:ascii="Calibri" w:hAnsi="Calibri" w:eastAsia="宋体" w:cs="Times New Roman"/>
      <w:lang w:val="en-US" w:eastAsia="zh-CN" w:bidi="ar-SA"/>
    </w:rPr>
  </w:style>
  <w:style w:type="paragraph" w:customStyle="1" w:styleId="77">
    <w:name w:val="Table Paragraph"/>
    <w:basedOn w:val="1"/>
    <w:qFormat/>
    <w:uiPriority w:val="1"/>
  </w:style>
  <w:style w:type="paragraph" w:customStyle="1" w:styleId="78">
    <w:name w:val="TOC 标题2"/>
    <w:basedOn w:val="3"/>
    <w:next w:val="1"/>
    <w:qFormat/>
    <w:uiPriority w:val="0"/>
    <w:pPr>
      <w:outlineLvl w:val="9"/>
    </w:pPr>
  </w:style>
  <w:style w:type="paragraph" w:customStyle="1" w:styleId="79">
    <w:name w:val="正文文字"/>
    <w:basedOn w:val="1"/>
    <w:qFormat/>
    <w:uiPriority w:val="0"/>
    <w:pPr>
      <w:snapToGrid w:val="0"/>
      <w:spacing w:beforeLines="50" w:line="312" w:lineRule="auto"/>
      <w:ind w:firstLine="480" w:firstLineChars="200"/>
    </w:pPr>
    <w:rPr>
      <w:rFonts w:ascii="Arial" w:hAnsi="Arial" w:eastAsia="仿宋_GB2312"/>
      <w:bCs/>
      <w:sz w:val="24"/>
      <w:lang w:val="de-DE"/>
    </w:rPr>
  </w:style>
  <w:style w:type="paragraph" w:customStyle="1" w:styleId="80">
    <w:name w:val="WPSOffice手动目录 1"/>
    <w:qFormat/>
    <w:uiPriority w:val="0"/>
    <w:pPr>
      <w:spacing w:line="272" w:lineRule="exact"/>
    </w:pPr>
    <w:rPr>
      <w:rFonts w:ascii="Calibri" w:hAnsi="Calibri" w:eastAsia="宋体" w:cs="Times New Roman"/>
      <w:lang w:val="en-US" w:eastAsia="zh-CN" w:bidi="ar-SA"/>
    </w:rPr>
  </w:style>
  <w:style w:type="paragraph" w:customStyle="1" w:styleId="81">
    <w:name w:val="样式 表格文字 Char + 段前: 0.5 行"/>
    <w:basedOn w:val="1"/>
    <w:qFormat/>
    <w:uiPriority w:val="0"/>
    <w:pPr>
      <w:spacing w:beforeLines="50"/>
      <w:jc w:val="center"/>
    </w:pPr>
    <w:rPr>
      <w:sz w:val="24"/>
      <w:szCs w:val="20"/>
    </w:rPr>
  </w:style>
  <w:style w:type="paragraph" w:customStyle="1" w:styleId="82">
    <w:name w:val="cucd-TB"/>
    <w:qFormat/>
    <w:uiPriority w:val="0"/>
    <w:pPr>
      <w:spacing w:line="360" w:lineRule="auto"/>
      <w:jc w:val="center"/>
    </w:pPr>
    <w:rPr>
      <w:rFonts w:ascii="Calibri" w:hAnsi="Calibri" w:eastAsia="宋体" w:cs="Times New Roman"/>
      <w:kern w:val="2"/>
      <w:sz w:val="21"/>
      <w:szCs w:val="24"/>
      <w:lang w:val="en-US" w:eastAsia="zh-CN" w:bidi="ar-SA"/>
    </w:rPr>
  </w:style>
  <w:style w:type="paragraph" w:customStyle="1" w:styleId="83">
    <w:name w:val="样式 标题 3 + (中文) 黑体 小四 非加粗 段前: 7.8 磅 段后: 0 磅 行距: 固定值 20 磅"/>
    <w:basedOn w:val="4"/>
    <w:qFormat/>
    <w:uiPriority w:val="0"/>
    <w:pPr>
      <w:spacing w:line="400" w:lineRule="exact"/>
    </w:pPr>
    <w:rPr>
      <w:szCs w:val="20"/>
    </w:rPr>
  </w:style>
  <w:style w:type="paragraph" w:customStyle="1" w:styleId="84">
    <w:name w:val="段落"/>
    <w:basedOn w:val="1"/>
    <w:qFormat/>
    <w:uiPriority w:val="0"/>
    <w:pPr>
      <w:adjustRightInd w:val="0"/>
      <w:spacing w:line="400" w:lineRule="atLeast"/>
      <w:ind w:firstLine="482"/>
      <w:textAlignment w:val="baseline"/>
    </w:pPr>
    <w:rPr>
      <w:rFonts w:ascii="Times New Roman" w:hAnsi="Times New Roman" w:cs="Times New Roman"/>
      <w:sz w:val="28"/>
      <w:szCs w:val="28"/>
      <w:lang w:eastAsia="zh-CN"/>
    </w:rPr>
  </w:style>
  <w:style w:type="paragraph" w:customStyle="1" w:styleId="85">
    <w:name w:val="Default"/>
    <w:next w:val="28"/>
    <w:qFormat/>
    <w:uiPriority w:val="0"/>
    <w:pPr>
      <w:widowControl w:val="0"/>
      <w:autoSpaceDE w:val="0"/>
      <w:autoSpaceDN w:val="0"/>
      <w:adjustRightInd w:val="0"/>
      <w:spacing w:line="272" w:lineRule="exact"/>
    </w:pPr>
    <w:rPr>
      <w:rFonts w:ascii="宋体" w:hAnsi="Calibri" w:eastAsia="宋体" w:cs="宋体"/>
      <w:color w:val="000000"/>
      <w:sz w:val="24"/>
      <w:szCs w:val="24"/>
      <w:lang w:val="en-US" w:eastAsia="zh-CN" w:bidi="ar-SA"/>
    </w:rPr>
  </w:style>
  <w:style w:type="paragraph" w:customStyle="1" w:styleId="86">
    <w:name w:val="样式 标题 2 + 居中"/>
    <w:basedOn w:val="2"/>
    <w:qFormat/>
    <w:uiPriority w:val="0"/>
    <w:rPr>
      <w:rFonts w:ascii="黑体" w:hAnsi="Times New Roman" w:eastAsia="黑体" w:cs="宋体"/>
      <w:b w:val="0"/>
      <w:kern w:val="2"/>
      <w:sz w:val="30"/>
      <w:szCs w:val="20"/>
      <w:lang w:eastAsia="zh-CN"/>
    </w:rPr>
  </w:style>
  <w:style w:type="paragraph" w:customStyle="1" w:styleId="87">
    <w:name w:val="表中"/>
    <w:basedOn w:val="1"/>
    <w:qFormat/>
    <w:uiPriority w:val="0"/>
    <w:pPr>
      <w:tabs>
        <w:tab w:val="left" w:pos="480"/>
      </w:tabs>
      <w:autoSpaceDE w:val="0"/>
      <w:autoSpaceDN w:val="0"/>
      <w:adjustRightInd w:val="0"/>
      <w:spacing w:before="100" w:beforeAutospacing="1" w:after="100" w:afterAutospacing="1"/>
      <w:jc w:val="center"/>
    </w:pPr>
  </w:style>
  <w:style w:type="paragraph" w:customStyle="1" w:styleId="88">
    <w:name w:val="捌夹肈 2"/>
    <w:basedOn w:val="1"/>
    <w:qFormat/>
    <w:uiPriority w:val="99"/>
    <w:pPr>
      <w:autoSpaceDE w:val="0"/>
      <w:autoSpaceDN w:val="0"/>
      <w:adjustRightInd w:val="0"/>
      <w:jc w:val="both"/>
    </w:pPr>
    <w:rPr>
      <w:rFonts w:ascii="文鼎CS中宋" w:hAnsi="Times New Roman" w:eastAsia="文鼎CS中宋" w:cs="Times New Roman"/>
      <w:sz w:val="20"/>
      <w:szCs w:val="24"/>
      <w:lang w:eastAsia="zh-CN"/>
    </w:rPr>
  </w:style>
  <w:style w:type="paragraph" w:customStyle="1" w:styleId="89">
    <w:name w:val="无间隔11"/>
    <w:qFormat/>
    <w:uiPriority w:val="0"/>
    <w:pPr>
      <w:widowControl w:val="0"/>
      <w:spacing w:line="272" w:lineRule="exact"/>
    </w:pPr>
    <w:rPr>
      <w:rFonts w:ascii="Calibri" w:hAnsi="Calibri" w:eastAsia="宋体" w:cs="黑体"/>
      <w:sz w:val="22"/>
      <w:szCs w:val="22"/>
      <w:lang w:val="en-US" w:eastAsia="en-US" w:bidi="ar-SA"/>
    </w:rPr>
  </w:style>
  <w:style w:type="paragraph" w:customStyle="1" w:styleId="90">
    <w:name w:val="修订1"/>
    <w:unhideWhenUsed/>
    <w:qFormat/>
    <w:uiPriority w:val="99"/>
    <w:pPr>
      <w:spacing w:line="272" w:lineRule="exact"/>
    </w:pPr>
    <w:rPr>
      <w:rFonts w:ascii="宋体" w:hAnsi="宋体" w:eastAsia="宋体" w:cs="宋体"/>
      <w:sz w:val="22"/>
      <w:szCs w:val="22"/>
      <w:lang w:val="en-US" w:eastAsia="en-US" w:bidi="ar-SA"/>
    </w:rPr>
  </w:style>
  <w:style w:type="paragraph" w:customStyle="1" w:styleId="91">
    <w:name w:val="公正文"/>
    <w:basedOn w:val="9"/>
    <w:qFormat/>
    <w:uiPriority w:val="0"/>
    <w:pPr>
      <w:adjustRightInd w:val="0"/>
      <w:snapToGrid w:val="0"/>
      <w:spacing w:line="355" w:lineRule="auto"/>
      <w:ind w:firstLine="200"/>
    </w:pPr>
    <w:rPr>
      <w:rFonts w:hAnsi="宋体" w:eastAsia="仿宋_GB2312"/>
      <w:szCs w:val="24"/>
    </w:rPr>
  </w:style>
  <w:style w:type="character" w:customStyle="1" w:styleId="92">
    <w:name w:val="页脚 Char"/>
    <w:qFormat/>
    <w:uiPriority w:val="99"/>
    <w:rPr>
      <w:rFonts w:ascii="宋体" w:hAnsi="宋体" w:eastAsia="宋体" w:cs="宋体"/>
      <w:sz w:val="18"/>
      <w:szCs w:val="18"/>
    </w:rPr>
  </w:style>
  <w:style w:type="character" w:customStyle="1" w:styleId="93">
    <w:name w:val="纯文本 Char1"/>
    <w:qFormat/>
    <w:uiPriority w:val="99"/>
    <w:rPr>
      <w:rFonts w:ascii="宋体" w:hAnsi="Courier New" w:eastAsia="宋体" w:cs="Courier New"/>
      <w:sz w:val="21"/>
      <w:szCs w:val="21"/>
    </w:rPr>
  </w:style>
  <w:style w:type="character" w:customStyle="1" w:styleId="94">
    <w:name w:val="批注框文本 Char"/>
    <w:semiHidden/>
    <w:qFormat/>
    <w:uiPriority w:val="99"/>
    <w:rPr>
      <w:rFonts w:ascii="宋体" w:hAnsi="宋体" w:eastAsia="宋体" w:cs="宋体"/>
      <w:sz w:val="18"/>
      <w:szCs w:val="18"/>
    </w:rPr>
  </w:style>
  <w:style w:type="character" w:customStyle="1" w:styleId="95">
    <w:name w:val="文档结构图 Char"/>
    <w:semiHidden/>
    <w:qFormat/>
    <w:uiPriority w:val="99"/>
    <w:rPr>
      <w:rFonts w:ascii="宋体" w:hAnsi="宋体" w:eastAsia="宋体" w:cs="宋体"/>
      <w:sz w:val="18"/>
      <w:szCs w:val="18"/>
    </w:rPr>
  </w:style>
  <w:style w:type="character" w:customStyle="1" w:styleId="96">
    <w:name w:val="未处理的提及2"/>
    <w:unhideWhenUsed/>
    <w:qFormat/>
    <w:uiPriority w:val="99"/>
    <w:rPr>
      <w:color w:val="605E5C"/>
      <w:shd w:val="clear" w:color="auto" w:fill="E1DFDD"/>
    </w:rPr>
  </w:style>
  <w:style w:type="character" w:customStyle="1" w:styleId="97">
    <w:name w:val="页眉 Char"/>
    <w:qFormat/>
    <w:uiPriority w:val="99"/>
    <w:rPr>
      <w:rFonts w:ascii="宋体" w:hAnsi="宋体" w:eastAsia="宋体" w:cs="宋体"/>
      <w:sz w:val="18"/>
      <w:szCs w:val="18"/>
    </w:rPr>
  </w:style>
  <w:style w:type="character" w:customStyle="1" w:styleId="98">
    <w:name w:val="批注文字 Char1"/>
    <w:semiHidden/>
    <w:qFormat/>
    <w:uiPriority w:val="99"/>
    <w:rPr>
      <w:rFonts w:ascii="宋体" w:hAnsi="宋体" w:eastAsia="宋体" w:cs="宋体"/>
    </w:rPr>
  </w:style>
  <w:style w:type="character" w:customStyle="1" w:styleId="99">
    <w:name w:val="标题 5 Char"/>
    <w:qFormat/>
    <w:uiPriority w:val="0"/>
    <w:rPr>
      <w:b/>
      <w:bCs/>
      <w:kern w:val="2"/>
      <w:sz w:val="28"/>
      <w:szCs w:val="28"/>
    </w:rPr>
  </w:style>
  <w:style w:type="paragraph" w:customStyle="1" w:styleId="100">
    <w:name w:val="_Style 93"/>
    <w:basedOn w:val="1"/>
    <w:next w:val="69"/>
    <w:qFormat/>
    <w:uiPriority w:val="34"/>
    <w:pPr>
      <w:spacing w:line="240" w:lineRule="auto"/>
    </w:pPr>
  </w:style>
  <w:style w:type="paragraph" w:customStyle="1" w:styleId="101">
    <w:name w:val="修订2"/>
    <w:unhideWhenUsed/>
    <w:qFormat/>
    <w:uiPriority w:val="99"/>
    <w:rPr>
      <w:rFonts w:ascii="宋体" w:hAnsi="宋体" w:eastAsia="宋体" w:cs="宋体"/>
      <w:sz w:val="22"/>
      <w:szCs w:val="22"/>
      <w:lang w:val="en-US" w:eastAsia="en-US" w:bidi="ar-SA"/>
    </w:rPr>
  </w:style>
  <w:style w:type="paragraph" w:customStyle="1" w:styleId="102">
    <w:name w:val="TOC 标题3"/>
    <w:basedOn w:val="3"/>
    <w:next w:val="1"/>
    <w:qFormat/>
    <w:uiPriority w:val="0"/>
    <w:pPr>
      <w:outlineLvl w:val="9"/>
    </w:pPr>
    <w:rPr>
      <w:lang w:val="zh-CN" w:eastAsia="zh-CN"/>
    </w:rPr>
  </w:style>
  <w:style w:type="table" w:customStyle="1" w:styleId="103">
    <w:name w:val="Table Normal"/>
    <w:unhideWhenUsed/>
    <w:qFormat/>
    <w:uiPriority w:val="2"/>
    <w:tblPr>
      <w:tblCellMar>
        <w:top w:w="0" w:type="dxa"/>
        <w:left w:w="0" w:type="dxa"/>
        <w:bottom w:w="0" w:type="dxa"/>
        <w:right w:w="0" w:type="dxa"/>
      </w:tblCellMar>
    </w:tblPr>
  </w:style>
  <w:style w:type="paragraph" w:customStyle="1" w:styleId="104">
    <w:name w:val="a1"/>
    <w:basedOn w:val="1"/>
    <w:qFormat/>
    <w:uiPriority w:val="0"/>
    <w:pPr>
      <w:widowControl/>
      <w:spacing w:line="432" w:lineRule="auto"/>
    </w:pPr>
    <w:rPr>
      <w:sz w:val="24"/>
      <w:szCs w:val="24"/>
      <w:lang w:eastAsia="zh-CN"/>
    </w:rPr>
  </w:style>
  <w:style w:type="paragraph" w:customStyle="1" w:styleId="105">
    <w:name w:val="正文文本 31"/>
    <w:basedOn w:val="1"/>
    <w:qFormat/>
    <w:uiPriority w:val="99"/>
    <w:pPr>
      <w:spacing w:line="240" w:lineRule="auto"/>
      <w:jc w:val="both"/>
    </w:pPr>
    <w:rPr>
      <w:rFonts w:hAnsi="Times New Roman"/>
      <w:kern w:val="2"/>
      <w:sz w:val="24"/>
      <w:szCs w:val="24"/>
      <w:lang w:eastAsia="zh-CN"/>
    </w:rPr>
  </w:style>
  <w:style w:type="paragraph" w:customStyle="1" w:styleId="106">
    <w:name w:val="修订3"/>
    <w:hidden/>
    <w:semiHidden/>
    <w:qFormat/>
    <w:uiPriority w:val="99"/>
    <w:rPr>
      <w:rFonts w:ascii="宋体" w:hAnsi="宋体" w:eastAsia="宋体" w:cs="宋体"/>
      <w:sz w:val="22"/>
      <w:szCs w:val="22"/>
      <w:lang w:val="en-US" w:eastAsia="en-US" w:bidi="ar-SA"/>
    </w:rPr>
  </w:style>
  <w:style w:type="paragraph" w:customStyle="1" w:styleId="107">
    <w:name w:val="前附表"/>
    <w:basedOn w:val="108"/>
    <w:qFormat/>
    <w:uiPriority w:val="0"/>
    <w:pPr>
      <w:spacing w:line="440" w:lineRule="exact"/>
      <w:ind w:left="50" w:leftChars="50" w:right="50" w:rightChars="50" w:firstLine="0" w:firstLineChars="0"/>
      <w:jc w:val="left"/>
    </w:pPr>
    <w:rPr>
      <w:rFonts w:cs="宋体"/>
      <w:color w:val="000000"/>
      <w:kern w:val="0"/>
      <w:sz w:val="21"/>
      <w:szCs w:val="21"/>
    </w:rPr>
  </w:style>
  <w:style w:type="paragraph" w:customStyle="1" w:styleId="108">
    <w:name w:val="正文样式"/>
    <w:basedOn w:val="1"/>
    <w:qFormat/>
    <w:uiPriority w:val="0"/>
  </w:style>
  <w:style w:type="paragraph" w:customStyle="1" w:styleId="109">
    <w:name w:val="正文11"/>
    <w:next w:val="110"/>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110">
    <w:name w:val="正文文本1"/>
    <w:basedOn w:val="109"/>
    <w:next w:val="13"/>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9C3EC-9A9F-4F55-88AE-3E19D6F8E1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19527</Words>
  <Characters>20921</Characters>
  <Lines>213</Lines>
  <Paragraphs>60</Paragraphs>
  <TotalTime>1</TotalTime>
  <ScaleCrop>false</ScaleCrop>
  <LinksUpToDate>false</LinksUpToDate>
  <CharactersWithSpaces>22838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2022-06-30T09:48:00Z</dcterms:created>
  <dc:creator>袁静</dc:creator>
  <cp:lastModifiedBy>凯Man</cp:lastModifiedBy>
  <cp:lastPrinted>2022-05-23T04:01:00Z</cp:lastPrinted>
  <dcterms:modified xsi:type="dcterms:W3CDTF">2023-10-10T07:44:26Z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2052-12.1.0.15712</vt:lpwstr>
  </property>
  <property fmtid="{D5CDD505-2E9C-101B-9397-08002B2CF9AE}" pid="6" name="ICV">
    <vt:lpwstr>E5F2EF950E2044A69B0A706319185BF0_13</vt:lpwstr>
  </property>
</Properties>
</file>